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CBD28" w14:textId="1E8301D7" w:rsidR="00247283" w:rsidRPr="00247283" w:rsidRDefault="00247283" w:rsidP="00247283">
      <w:pPr>
        <w:pStyle w:val="CRCoverPage"/>
        <w:tabs>
          <w:tab w:val="right" w:pos="9540"/>
        </w:tabs>
        <w:spacing w:after="0"/>
        <w:rPr>
          <w:rFonts w:eastAsia="SimSun" w:cs="Arial"/>
          <w:b/>
          <w:noProof/>
          <w:sz w:val="24"/>
          <w:szCs w:val="24"/>
        </w:rPr>
      </w:pPr>
      <w:r w:rsidRPr="00247283">
        <w:rPr>
          <w:rFonts w:eastAsia="SimSun" w:cs="Arial"/>
          <w:b/>
          <w:noProof/>
          <w:sz w:val="24"/>
          <w:szCs w:val="24"/>
        </w:rPr>
        <w:t>3GPP T</w:t>
      </w:r>
      <w:bookmarkStart w:id="0" w:name="_Ref452454252"/>
      <w:bookmarkEnd w:id="0"/>
      <w:r w:rsidRPr="00247283">
        <w:rPr>
          <w:rFonts w:eastAsia="SimSun" w:cs="Arial"/>
          <w:b/>
          <w:noProof/>
          <w:sz w:val="24"/>
          <w:szCs w:val="24"/>
        </w:rPr>
        <w:t>SG-RAN WG2</w:t>
      </w:r>
      <w:r w:rsidRPr="00247283">
        <w:rPr>
          <w:rFonts w:eastAsia="SimSun" w:cs="Arial"/>
          <w:b/>
          <w:noProof/>
          <w:sz w:val="24"/>
          <w:szCs w:val="24"/>
          <w:lang w:eastAsia="zh-CN"/>
        </w:rPr>
        <w:t xml:space="preserve"> meeting #10</w:t>
      </w:r>
      <w:r w:rsidR="00C87933">
        <w:rPr>
          <w:rFonts w:eastAsia="SimSun" w:cs="Arial"/>
          <w:b/>
          <w:noProof/>
          <w:sz w:val="24"/>
          <w:szCs w:val="24"/>
          <w:lang w:eastAsia="zh-CN"/>
        </w:rPr>
        <w:t>9e</w:t>
      </w:r>
      <w:r w:rsidRPr="00247283">
        <w:rPr>
          <w:rFonts w:eastAsia="SimSun" w:cs="Arial"/>
          <w:b/>
          <w:noProof/>
          <w:sz w:val="24"/>
          <w:szCs w:val="24"/>
          <w:lang w:eastAsia="zh-CN"/>
        </w:rPr>
        <w:tab/>
      </w:r>
      <w:r w:rsidRPr="00247283">
        <w:rPr>
          <w:rFonts w:eastAsia="SimSun" w:cs="Arial"/>
          <w:b/>
          <w:noProof/>
          <w:sz w:val="24"/>
          <w:szCs w:val="24"/>
        </w:rPr>
        <w:t>R2-</w:t>
      </w:r>
      <w:r w:rsidR="004410B8">
        <w:rPr>
          <w:rFonts w:eastAsia="SimSun" w:cs="Arial"/>
          <w:b/>
          <w:noProof/>
          <w:sz w:val="24"/>
          <w:szCs w:val="24"/>
        </w:rPr>
        <w:t>20</w:t>
      </w:r>
      <w:r w:rsidR="004410B8" w:rsidRPr="004410B8">
        <w:rPr>
          <w:rFonts w:eastAsia="SimSun" w:cs="Arial"/>
          <w:b/>
          <w:noProof/>
          <w:sz w:val="24"/>
          <w:szCs w:val="24"/>
        </w:rPr>
        <w:t>01622</w:t>
      </w:r>
    </w:p>
    <w:p w14:paraId="25FA6736" w14:textId="5737BD27" w:rsidR="00C87933" w:rsidRDefault="00D5399C" w:rsidP="00C87933">
      <w:pPr>
        <w:tabs>
          <w:tab w:val="left" w:pos="1985"/>
        </w:tabs>
        <w:spacing w:after="100" w:afterAutospacing="1"/>
        <w:rPr>
          <w:rFonts w:cs="Arial"/>
          <w:b/>
          <w:noProof/>
          <w:sz w:val="22"/>
          <w:szCs w:val="22"/>
        </w:rPr>
      </w:pPr>
      <w:r w:rsidRPr="00D5399C">
        <w:rPr>
          <w:rFonts w:cs="Arial"/>
          <w:b/>
          <w:noProof/>
          <w:sz w:val="22"/>
          <w:szCs w:val="22"/>
        </w:rPr>
        <w:t xml:space="preserve">E-meeting, February 24th – </w:t>
      </w:r>
      <w:r>
        <w:rPr>
          <w:rFonts w:cs="Arial"/>
          <w:b/>
          <w:noProof/>
          <w:sz w:val="22"/>
          <w:szCs w:val="22"/>
        </w:rPr>
        <w:t>March 6</w:t>
      </w:r>
      <w:r w:rsidRPr="00D5399C">
        <w:rPr>
          <w:rFonts w:cs="Arial"/>
          <w:b/>
          <w:noProof/>
          <w:sz w:val="22"/>
          <w:szCs w:val="22"/>
        </w:rPr>
        <w:t>th, 20</w:t>
      </w:r>
      <w:r w:rsidR="00C87933" w:rsidRPr="00C87933">
        <w:rPr>
          <w:rFonts w:cs="Arial"/>
          <w:b/>
          <w:noProof/>
          <w:sz w:val="22"/>
          <w:szCs w:val="22"/>
        </w:rPr>
        <w:t>20</w:t>
      </w:r>
    </w:p>
    <w:p w14:paraId="1A3C4CA4" w14:textId="4FA5C81A" w:rsidR="0097006C" w:rsidRPr="00C87933" w:rsidRDefault="00247283" w:rsidP="00C87933">
      <w:pPr>
        <w:tabs>
          <w:tab w:val="left" w:pos="1985"/>
        </w:tabs>
        <w:spacing w:after="100" w:afterAutospacing="1"/>
        <w:rPr>
          <w:rFonts w:cs="Arial"/>
          <w:b/>
          <w:noProof/>
          <w:sz w:val="22"/>
          <w:szCs w:val="22"/>
        </w:rPr>
      </w:pPr>
      <w:r w:rsidRPr="00247283">
        <w:rPr>
          <w:rFonts w:cs="Arial"/>
          <w:sz w:val="24"/>
          <w:szCs w:val="24"/>
        </w:rPr>
        <w:tab/>
      </w:r>
      <w:r w:rsidR="00C6131A">
        <w:rPr>
          <w:rFonts w:cs="SimHei"/>
          <w:sz w:val="24"/>
          <w:szCs w:val="22"/>
        </w:rPr>
        <w:tab/>
      </w:r>
      <w:r w:rsidR="00362A6B">
        <w:rPr>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1B0AE1D2"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D5399C" w:rsidRPr="00D5399C">
        <w:rPr>
          <w:rFonts w:cs="SimHei"/>
          <w:bCs/>
          <w:sz w:val="24"/>
        </w:rPr>
        <w:t>Remaining issues for IAB HbH Flow control</w:t>
      </w:r>
    </w:p>
    <w:p w14:paraId="726F9762" w14:textId="0AFC64F5" w:rsidR="005C0843" w:rsidRPr="000345C2" w:rsidRDefault="005C0843" w:rsidP="005C0843">
      <w:pPr>
        <w:pStyle w:val="3GPPHeader"/>
      </w:pPr>
      <w:r>
        <w:t>Agenda Item:</w:t>
      </w:r>
      <w:r>
        <w:tab/>
      </w:r>
      <w:r w:rsidR="00C6131A" w:rsidRPr="00C6131A">
        <w:rPr>
          <w:b w:val="0"/>
        </w:rPr>
        <w:t>6.1.</w:t>
      </w:r>
      <w:r w:rsidR="005C5384">
        <w:rPr>
          <w:b w:val="0"/>
        </w:rPr>
        <w:t>3</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2A3CEED4" w:rsidR="00B23CD2" w:rsidRDefault="00EF5AD3" w:rsidP="00377784">
      <w:pPr>
        <w:pStyle w:val="B1"/>
        <w:spacing w:after="120"/>
        <w:ind w:left="0" w:firstLine="0"/>
      </w:pPr>
      <w:r>
        <w:t>In the</w:t>
      </w:r>
      <w:r w:rsidR="00B23CD2">
        <w:t xml:space="preserve"> RAN2 #10</w:t>
      </w:r>
      <w:r w:rsidR="00C87933">
        <w:t>8</w:t>
      </w:r>
      <w:r w:rsidR="00B23CD2">
        <w:t xml:space="preserve"> meeting</w:t>
      </w:r>
      <w:r w:rsidR="00A35D19">
        <w:t xml:space="preserve"> [1]</w:t>
      </w:r>
      <w:r w:rsidR="00B23CD2">
        <w:t xml:space="preserve">, several agreements were </w:t>
      </w:r>
      <w:r w:rsidR="00224BB9">
        <w:t xml:space="preserve">reached regarding IAB </w:t>
      </w:r>
      <w:r w:rsidR="00AE08D9">
        <w:t>flow control</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0315BA13" w14:textId="2A8EC55B" w:rsidR="004410B8" w:rsidRPr="004410B8" w:rsidRDefault="004410B8" w:rsidP="004410B8">
            <w:pPr>
              <w:pStyle w:val="ListParagraph"/>
              <w:numPr>
                <w:ilvl w:val="0"/>
                <w:numId w:val="33"/>
              </w:numPr>
              <w:rPr>
                <w:lang w:bidi="ar"/>
              </w:rPr>
            </w:pPr>
            <w:bookmarkStart w:id="3" w:name="_Hlk24027658"/>
            <w:r w:rsidRPr="004410B8">
              <w:rPr>
                <w:rFonts w:ascii="Arial" w:eastAsia="MS Mincho" w:hAnsi="Arial"/>
                <w:b/>
                <w:sz w:val="20"/>
                <w:szCs w:val="24"/>
                <w:lang w:val="en-US" w:eastAsia="zh-CN" w:bidi="ar"/>
              </w:rPr>
              <w:t xml:space="preserve">We support O1 and O2, </w:t>
            </w:r>
            <w:proofErr w:type="gramStart"/>
            <w:r w:rsidRPr="004410B8">
              <w:rPr>
                <w:rFonts w:ascii="Arial" w:eastAsia="MS Mincho" w:hAnsi="Arial"/>
                <w:b/>
                <w:sz w:val="20"/>
                <w:szCs w:val="24"/>
                <w:lang w:val="en-US" w:eastAsia="zh-CN" w:bidi="ar"/>
              </w:rPr>
              <w:t>Which</w:t>
            </w:r>
            <w:proofErr w:type="gramEnd"/>
            <w:r w:rsidRPr="004410B8">
              <w:rPr>
                <w:rFonts w:ascii="Arial" w:eastAsia="MS Mincho" w:hAnsi="Arial"/>
                <w:b/>
                <w:sz w:val="20"/>
                <w:szCs w:val="24"/>
                <w:lang w:val="en-US" w:eastAsia="zh-CN" w:bidi="ar"/>
              </w:rPr>
              <w:t xml:space="preserve"> one to use is configurable</w:t>
            </w:r>
          </w:p>
          <w:p w14:paraId="50A37A11" w14:textId="77777777" w:rsidR="004410B8" w:rsidRPr="004410B8" w:rsidRDefault="004410B8" w:rsidP="004410B8">
            <w:pPr>
              <w:pStyle w:val="ListParagraph"/>
              <w:ind w:left="922"/>
              <w:rPr>
                <w:lang w:bidi="ar"/>
              </w:rPr>
            </w:pPr>
          </w:p>
          <w:p w14:paraId="35F04AF6" w14:textId="77777777" w:rsidR="004410B8" w:rsidRPr="004410B8" w:rsidRDefault="004410B8" w:rsidP="004410B8">
            <w:pPr>
              <w:pStyle w:val="ListParagraph"/>
              <w:numPr>
                <w:ilvl w:val="0"/>
                <w:numId w:val="33"/>
              </w:numPr>
              <w:rPr>
                <w:b/>
                <w:bCs/>
                <w:lang w:bidi="ar"/>
              </w:rPr>
            </w:pPr>
            <w:r w:rsidRPr="004410B8">
              <w:rPr>
                <w:b/>
                <w:bCs/>
                <w:lang w:bidi="ar"/>
              </w:rPr>
              <w:t>R2 assumes that e.g. when the buffer load exceeds the certain level, the DL hop-by-hop flow control feedback should be triggered, the details of this trigger is left for implementation (in this Rel)</w:t>
            </w:r>
          </w:p>
          <w:p w14:paraId="64929807" w14:textId="34656CA3" w:rsidR="004410B8" w:rsidRPr="004410B8" w:rsidRDefault="004410B8" w:rsidP="004410B8">
            <w:pPr>
              <w:pStyle w:val="ListParagraph"/>
              <w:numPr>
                <w:ilvl w:val="0"/>
                <w:numId w:val="33"/>
              </w:numPr>
              <w:rPr>
                <w:lang w:bidi="ar"/>
              </w:rPr>
            </w:pPr>
            <w:r w:rsidRPr="004410B8">
              <w:rPr>
                <w:b/>
                <w:bCs/>
                <w:lang w:bidi="ar"/>
              </w:rPr>
              <w:t>We support Polling, Assume that polling trigger is not specified</w:t>
            </w:r>
          </w:p>
          <w:p w14:paraId="32057F75" w14:textId="77777777" w:rsidR="004410B8" w:rsidRPr="004410B8" w:rsidRDefault="004410B8" w:rsidP="004410B8">
            <w:pPr>
              <w:pStyle w:val="ListParagraph"/>
              <w:ind w:left="922"/>
              <w:rPr>
                <w:lang w:bidi="ar"/>
              </w:rPr>
            </w:pPr>
          </w:p>
          <w:p w14:paraId="124F0D61" w14:textId="42C9022E" w:rsidR="004410B8" w:rsidRPr="004410B8" w:rsidRDefault="004410B8" w:rsidP="004410B8">
            <w:pPr>
              <w:pStyle w:val="ListParagraph"/>
              <w:numPr>
                <w:ilvl w:val="0"/>
                <w:numId w:val="33"/>
              </w:numPr>
              <w:rPr>
                <w:b/>
                <w:bCs/>
                <w:lang w:bidi="ar"/>
              </w:rPr>
            </w:pPr>
            <w:r w:rsidRPr="004410B8">
              <w:rPr>
                <w:b/>
                <w:bCs/>
                <w:lang w:bidi="ar"/>
              </w:rPr>
              <w:t>We use Available or desired buffer size (absolute e.g. MB kB)</w:t>
            </w:r>
          </w:p>
        </w:tc>
      </w:tr>
      <w:bookmarkEnd w:id="3"/>
    </w:tbl>
    <w:p w14:paraId="7DFC2800" w14:textId="573EEBCF" w:rsidR="000D4D53" w:rsidRDefault="000D4D53" w:rsidP="000D4D53"/>
    <w:p w14:paraId="4D979324" w14:textId="6B0A8A3A" w:rsidR="00377784" w:rsidRDefault="00883182" w:rsidP="00AE08D9">
      <w:proofErr w:type="gramStart"/>
      <w:r>
        <w:t>In spite of</w:t>
      </w:r>
      <w:proofErr w:type="gramEnd"/>
      <w:r>
        <w:t xml:space="preserve"> this progress on IAB HbH flow control, many details remain to be agreed. </w:t>
      </w:r>
      <w:r w:rsidR="00120872">
        <w:t>Most</w:t>
      </w:r>
      <w:r w:rsidR="002A1723">
        <w:t xml:space="preserve"> related issues were raised and discussed in an e-mail discussion </w:t>
      </w:r>
      <w:r w:rsidR="002A1723" w:rsidRPr="002A1723">
        <w:t>[108#</w:t>
      </w:r>
      <w:proofErr w:type="gramStart"/>
      <w:r w:rsidR="002A1723" w:rsidRPr="002A1723">
        <w:t>51][</w:t>
      </w:r>
      <w:proofErr w:type="gramEnd"/>
      <w:r w:rsidR="002A1723" w:rsidRPr="002A1723">
        <w:t>IAB] BAP open issue</w:t>
      </w:r>
      <w:r w:rsidR="002A1723">
        <w:t xml:space="preserve"> [2]. </w:t>
      </w:r>
      <w:r w:rsidR="00120872">
        <w:t xml:space="preserve">However, several issues warrant further discussion on this topic. </w:t>
      </w:r>
      <w:r w:rsidR="00000BA5">
        <w:t xml:space="preserve">In this paper, we </w:t>
      </w:r>
      <w:r w:rsidR="00120872">
        <w:t>further elaborate</w:t>
      </w:r>
      <w:r w:rsidR="00000BA5">
        <w:t xml:space="preserve"> several of these </w:t>
      </w:r>
      <w:r w:rsidR="00AE08D9">
        <w:t>remaining issues for IAB HbH flow control</w:t>
      </w:r>
      <w:r w:rsidR="00BC4647">
        <w:t xml:space="preserve"> </w:t>
      </w:r>
      <w:r w:rsidR="00120872">
        <w:t>and make several related proposals</w:t>
      </w:r>
      <w:r w:rsidR="00377784">
        <w:t>.</w:t>
      </w:r>
    </w:p>
    <w:p w14:paraId="4AF4B1C1" w14:textId="57B6CD67" w:rsidR="000D4D53" w:rsidRDefault="006B2C07" w:rsidP="000D4D53">
      <w:pPr>
        <w:pStyle w:val="Heading1"/>
        <w:spacing w:before="120"/>
        <w:ind w:left="431" w:hanging="431"/>
        <w:rPr>
          <w:rFonts w:eastAsia="SimSun"/>
          <w:lang w:val="en-US"/>
        </w:rPr>
      </w:pPr>
      <w:r>
        <w:rPr>
          <w:rFonts w:eastAsia="SimSun"/>
          <w:lang w:val="en-US"/>
        </w:rPr>
        <w:t>Discussion</w:t>
      </w:r>
      <w:r w:rsidR="00F61058">
        <w:rPr>
          <w:rFonts w:eastAsia="SimSun"/>
          <w:lang w:val="en-US"/>
        </w:rPr>
        <w:t xml:space="preserve"> </w:t>
      </w:r>
    </w:p>
    <w:p w14:paraId="7252D8AD" w14:textId="44D43154" w:rsidR="005E5755" w:rsidRDefault="005E5755" w:rsidP="005E5755">
      <w:pPr>
        <w:pStyle w:val="Heading2"/>
      </w:pPr>
      <w:r>
        <w:t>Backhaul flow control PDU format</w:t>
      </w:r>
    </w:p>
    <w:p w14:paraId="053A7183" w14:textId="64DB82D5" w:rsidR="005E5755" w:rsidRDefault="00617076" w:rsidP="005E5755">
      <w:pPr>
        <w:spacing w:before="120" w:after="240"/>
        <w:jc w:val="left"/>
        <w:outlineLvl w:val="1"/>
        <w:rPr>
          <w:bCs/>
          <w:lang w:val="en-GB"/>
        </w:rPr>
      </w:pPr>
      <w:r w:rsidRPr="00617076">
        <w:rPr>
          <w:bCs/>
          <w:lang w:val="en-GB"/>
        </w:rPr>
        <w:t>In the e-mail discussion</w:t>
      </w:r>
      <w:r>
        <w:rPr>
          <w:bCs/>
          <w:lang w:val="en-GB"/>
        </w:rPr>
        <w:t xml:space="preserve"> on BAP open issues [2] question 4 addressed flow control feedback, and the related control PDU format(s) for reporting of backhaul flow control information. Question 4.1 discussed the need for different control PDUs for reporting Option 1 (</w:t>
      </w:r>
      <w:r w:rsidRPr="00617076">
        <w:rPr>
          <w:bCs/>
          <w:lang w:val="en-GB"/>
        </w:rPr>
        <w:t>control PDU indicating BH RLC channel ID(s)</w:t>
      </w:r>
      <w:r>
        <w:rPr>
          <w:bCs/>
          <w:lang w:val="en-GB"/>
        </w:rPr>
        <w:t>) and Option 2 (</w:t>
      </w:r>
      <w:r w:rsidRPr="00617076">
        <w:rPr>
          <w:bCs/>
          <w:lang w:val="en-GB"/>
        </w:rPr>
        <w:t>a control PDU indicating routing ID(s)</w:t>
      </w:r>
      <w:r>
        <w:rPr>
          <w:bCs/>
          <w:lang w:val="en-GB"/>
        </w:rPr>
        <w:t xml:space="preserve">). </w:t>
      </w:r>
      <w:r w:rsidR="005D3D93">
        <w:rPr>
          <w:bCs/>
          <w:lang w:val="en-GB"/>
        </w:rPr>
        <w:t>Figures</w:t>
      </w:r>
      <w:r>
        <w:rPr>
          <w:bCs/>
          <w:lang w:val="en-GB"/>
        </w:rPr>
        <w:t xml:space="preserve"> 4-1 and 4-2 of [2] (reproduced below) proposed example control PDUs formats for each of these two options:</w:t>
      </w:r>
    </w:p>
    <w:p w14:paraId="368D345F" w14:textId="0B1ABCCC" w:rsidR="00617076" w:rsidRDefault="00617076" w:rsidP="00617076">
      <w:pPr>
        <w:jc w:val="center"/>
        <w:rPr>
          <w:rFonts w:hint="eastAsia"/>
        </w:rPr>
      </w:pPr>
      <w:r>
        <w:rPr>
          <w:rFonts w:hint="eastAsia"/>
          <w:noProof/>
        </w:rPr>
        <w:drawing>
          <wp:inline distT="0" distB="0" distL="0" distR="0" wp14:anchorId="0B6B82FF" wp14:editId="3572AB19">
            <wp:extent cx="2921635" cy="146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635" cy="1467485"/>
                    </a:xfrm>
                    <a:prstGeom prst="rect">
                      <a:avLst/>
                    </a:prstGeom>
                    <a:noFill/>
                    <a:ln>
                      <a:noFill/>
                    </a:ln>
                  </pic:spPr>
                </pic:pic>
              </a:graphicData>
            </a:graphic>
          </wp:inline>
        </w:drawing>
      </w:r>
    </w:p>
    <w:p w14:paraId="621F0224" w14:textId="03AAC145" w:rsidR="00617076" w:rsidRDefault="00617076" w:rsidP="00617076">
      <w:pPr>
        <w:jc w:val="center"/>
        <w:rPr>
          <w:rFonts w:hint="eastAsia"/>
        </w:rPr>
      </w:pPr>
      <w:r>
        <w:rPr>
          <w:rFonts w:hint="eastAsia"/>
        </w:rPr>
        <w:t>Fig. 4-1 example (only) of option-1 (only for one RLC channel)</w:t>
      </w:r>
      <w:r>
        <w:t xml:space="preserve"> [2]</w:t>
      </w:r>
    </w:p>
    <w:p w14:paraId="62CB8CB9" w14:textId="29A9E8B5" w:rsidR="00617076" w:rsidRDefault="00617076" w:rsidP="005E5755">
      <w:pPr>
        <w:spacing w:before="120" w:after="240"/>
        <w:jc w:val="left"/>
        <w:outlineLvl w:val="1"/>
        <w:rPr>
          <w:bCs/>
          <w:lang w:val="en-GB"/>
        </w:rPr>
      </w:pPr>
    </w:p>
    <w:p w14:paraId="68D9123B" w14:textId="63435C19" w:rsidR="00617076" w:rsidRDefault="00617076" w:rsidP="00617076">
      <w:pPr>
        <w:jc w:val="center"/>
        <w:rPr>
          <w:rFonts w:hint="eastAsia"/>
        </w:rPr>
      </w:pPr>
      <w:r>
        <w:rPr>
          <w:rFonts w:hint="eastAsia"/>
          <w:noProof/>
        </w:rPr>
        <w:lastRenderedPageBreak/>
        <w:drawing>
          <wp:inline distT="0" distB="0" distL="0" distR="0" wp14:anchorId="23575809" wp14:editId="29BA184F">
            <wp:extent cx="2921635" cy="18205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1635" cy="1820545"/>
                    </a:xfrm>
                    <a:prstGeom prst="rect">
                      <a:avLst/>
                    </a:prstGeom>
                    <a:noFill/>
                    <a:ln>
                      <a:noFill/>
                    </a:ln>
                  </pic:spPr>
                </pic:pic>
              </a:graphicData>
            </a:graphic>
          </wp:inline>
        </w:drawing>
      </w:r>
    </w:p>
    <w:p w14:paraId="6A9D4DC7" w14:textId="24947512" w:rsidR="00617076" w:rsidRDefault="00617076" w:rsidP="00617076">
      <w:pPr>
        <w:jc w:val="center"/>
        <w:rPr>
          <w:rFonts w:hint="eastAsia"/>
        </w:rPr>
      </w:pPr>
      <w:r>
        <w:rPr>
          <w:rFonts w:hint="eastAsia"/>
        </w:rPr>
        <w:t>Fig.4-2 example (only) for option-2 (only for routing ID)</w:t>
      </w:r>
      <w:r>
        <w:t xml:space="preserve"> [2]</w:t>
      </w:r>
    </w:p>
    <w:p w14:paraId="086FA846" w14:textId="7CA9026A" w:rsidR="00FC5343" w:rsidRDefault="00FC5343" w:rsidP="005E5755">
      <w:pPr>
        <w:spacing w:before="120" w:after="240"/>
        <w:jc w:val="left"/>
        <w:outlineLvl w:val="1"/>
        <w:rPr>
          <w:bCs/>
          <w:lang w:val="en-GB"/>
        </w:rPr>
      </w:pPr>
      <w:r>
        <w:rPr>
          <w:bCs/>
          <w:lang w:val="en-GB"/>
        </w:rPr>
        <w:t xml:space="preserve">In the e-mail discussion [2] a clear majority of companies supporting two different control BAP PDU formats for Option 1 and Option 2 respectively. Furthermore, </w:t>
      </w:r>
      <w:r w:rsidR="00EE3CC2">
        <w:rPr>
          <w:bCs/>
          <w:lang w:val="en-GB"/>
        </w:rPr>
        <w:t>an overwhelming majority supported the ability of configuring a</w:t>
      </w:r>
      <w:r w:rsidR="006460BA">
        <w:rPr>
          <w:bCs/>
          <w:lang w:val="en-GB"/>
        </w:rPr>
        <w:t>n</w:t>
      </w:r>
      <w:bookmarkStart w:id="4" w:name="_GoBack"/>
      <w:bookmarkEnd w:id="4"/>
      <w:r w:rsidR="00EE3CC2">
        <w:rPr>
          <w:bCs/>
          <w:lang w:val="en-GB"/>
        </w:rPr>
        <w:t xml:space="preserve"> IAB node to report </w:t>
      </w:r>
      <w:proofErr w:type="gramStart"/>
      <w:r w:rsidR="00EE3CC2">
        <w:rPr>
          <w:bCs/>
          <w:lang w:val="en-GB"/>
        </w:rPr>
        <w:t>both of these</w:t>
      </w:r>
      <w:proofErr w:type="gramEnd"/>
      <w:r w:rsidR="00EE3CC2">
        <w:rPr>
          <w:bCs/>
          <w:lang w:val="en-GB"/>
        </w:rPr>
        <w:t xml:space="preserve"> formats.</w:t>
      </w:r>
    </w:p>
    <w:p w14:paraId="5B8AFFF6" w14:textId="3DDB3676" w:rsidR="00EE3CC2" w:rsidRPr="00940646" w:rsidRDefault="00F86FC0" w:rsidP="005E5755">
      <w:pPr>
        <w:spacing w:before="120" w:after="240"/>
        <w:jc w:val="left"/>
        <w:outlineLvl w:val="1"/>
        <w:rPr>
          <w:rFonts w:asciiTheme="minorHAnsi" w:hAnsiTheme="minorHAnsi" w:cstheme="minorHAnsi"/>
          <w:bCs/>
          <w:lang w:val="en-GB"/>
        </w:rPr>
      </w:pPr>
      <w:bookmarkStart w:id="5" w:name="_Hlk32538303"/>
      <w:r w:rsidRPr="00940646">
        <w:rPr>
          <w:rFonts w:asciiTheme="minorHAnsi" w:hAnsiTheme="minorHAnsi" w:cstheme="minorHAnsi"/>
          <w:b/>
        </w:rPr>
        <w:t xml:space="preserve">Proposal </w:t>
      </w:r>
      <w:r w:rsidRPr="00940646">
        <w:rPr>
          <w:rFonts w:asciiTheme="minorHAnsi" w:hAnsiTheme="minorHAnsi" w:cstheme="minorHAnsi"/>
          <w:b/>
        </w:rPr>
        <w:t>1</w:t>
      </w:r>
      <w:r w:rsidRPr="00940646">
        <w:rPr>
          <w:rFonts w:asciiTheme="minorHAnsi" w:hAnsiTheme="minorHAnsi" w:cstheme="minorHAnsi"/>
          <w:b/>
        </w:rPr>
        <w:t xml:space="preserve">: </w:t>
      </w:r>
      <w:r w:rsidRPr="00940646">
        <w:rPr>
          <w:rFonts w:asciiTheme="minorHAnsi" w:hAnsiTheme="minorHAnsi" w:cstheme="minorHAnsi"/>
          <w:b/>
        </w:rPr>
        <w:t xml:space="preserve">An IAB node can be configured to report two different control PDU formats for HbH flow control information. One </w:t>
      </w:r>
      <w:proofErr w:type="gramStart"/>
      <w:r w:rsidRPr="00940646">
        <w:rPr>
          <w:rFonts w:asciiTheme="minorHAnsi" w:hAnsiTheme="minorHAnsi" w:cstheme="minorHAnsi"/>
          <w:b/>
        </w:rPr>
        <w:t>formats</w:t>
      </w:r>
      <w:proofErr w:type="gramEnd"/>
      <w:r w:rsidRPr="00940646">
        <w:rPr>
          <w:rFonts w:asciiTheme="minorHAnsi" w:hAnsiTheme="minorHAnsi" w:cstheme="minorHAnsi"/>
          <w:b/>
        </w:rPr>
        <w:t xml:space="preserve"> supports reporting the desired buffer size per BH RLC channel (Option 1) and the second supports reporting the desired buffer size per Routing ID (Option 2)</w:t>
      </w:r>
      <w:bookmarkEnd w:id="5"/>
      <w:r w:rsidRPr="00940646">
        <w:rPr>
          <w:rFonts w:asciiTheme="minorHAnsi" w:hAnsiTheme="minorHAnsi" w:cstheme="minorHAnsi"/>
          <w:b/>
        </w:rPr>
        <w:t xml:space="preserve">  </w:t>
      </w:r>
    </w:p>
    <w:p w14:paraId="76512DCF" w14:textId="04E60C39" w:rsidR="00617076" w:rsidRDefault="008A7589" w:rsidP="005E5755">
      <w:pPr>
        <w:spacing w:before="120" w:after="240"/>
        <w:jc w:val="left"/>
        <w:outlineLvl w:val="1"/>
        <w:rPr>
          <w:bCs/>
          <w:lang w:val="en-GB"/>
        </w:rPr>
      </w:pPr>
      <w:r>
        <w:rPr>
          <w:bCs/>
          <w:lang w:val="en-GB"/>
        </w:rPr>
        <w:t xml:space="preserve">In addition, question 4-4 [2] </w:t>
      </w:r>
      <w:r w:rsidR="00D933D2">
        <w:rPr>
          <w:bCs/>
          <w:lang w:val="en-GB"/>
        </w:rPr>
        <w:t xml:space="preserve">discussed implicit vs. explicit indication of the BH RLC channel in the backhaul flow control PDU. Figure 4-5 [2], reproduced below was proposed for explicit indication of the BH RLC channels for which flow control information is being reported. Note that with this proposal, the desired buffer size of several BH RLC channels are aggregated within a single control PDU: </w:t>
      </w:r>
    </w:p>
    <w:p w14:paraId="03FE536B" w14:textId="6F8A1EDD" w:rsidR="00D933D2" w:rsidRDefault="00D933D2" w:rsidP="00D933D2">
      <w:pPr>
        <w:jc w:val="center"/>
        <w:rPr>
          <w:rFonts w:hint="eastAsia"/>
        </w:rPr>
      </w:pPr>
      <w:r>
        <w:rPr>
          <w:rFonts w:hint="eastAsia"/>
          <w:noProof/>
        </w:rPr>
        <w:drawing>
          <wp:inline distT="0" distB="0" distL="0" distR="0" wp14:anchorId="504BB8D3" wp14:editId="050701BF">
            <wp:extent cx="2913380" cy="2734945"/>
            <wp:effectExtent l="0" t="0" r="127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3380" cy="2734945"/>
                    </a:xfrm>
                    <a:prstGeom prst="rect">
                      <a:avLst/>
                    </a:prstGeom>
                    <a:noFill/>
                    <a:ln>
                      <a:noFill/>
                    </a:ln>
                  </pic:spPr>
                </pic:pic>
              </a:graphicData>
            </a:graphic>
          </wp:inline>
        </w:drawing>
      </w:r>
    </w:p>
    <w:p w14:paraId="4ED2DE67" w14:textId="77777777" w:rsidR="00D933D2" w:rsidRDefault="00D933D2" w:rsidP="00D933D2">
      <w:pPr>
        <w:jc w:val="center"/>
        <w:rPr>
          <w:rFonts w:hint="eastAsia"/>
        </w:rPr>
      </w:pPr>
      <w:r>
        <w:rPr>
          <w:rFonts w:hint="eastAsia"/>
        </w:rPr>
        <w:t>Fig. 4-5 explicit way of option-1 (for multiple BH RLC channels)</w:t>
      </w:r>
    </w:p>
    <w:p w14:paraId="4EE9E191" w14:textId="4136F8AA" w:rsidR="00617076" w:rsidRDefault="00EC46AE" w:rsidP="005E5755">
      <w:pPr>
        <w:spacing w:before="120" w:after="240"/>
        <w:jc w:val="left"/>
        <w:outlineLvl w:val="1"/>
        <w:rPr>
          <w:bCs/>
          <w:lang w:val="en-GB"/>
        </w:rPr>
      </w:pPr>
      <w:r>
        <w:rPr>
          <w:bCs/>
          <w:lang w:val="en-GB"/>
        </w:rPr>
        <w:t xml:space="preserve">Comparing Figure 4-1 and 4-5, we can observe that in the case of reporting desired buffer size for multiple BH RLC channels, the aggregate report of 4-5 would have lower overhead. Also, if the report only includes a report for a single BH RLC channel, the two control PDU formats for Option 1 would be equivalent. Hence, the individual BH RLC </w:t>
      </w:r>
      <w:r>
        <w:rPr>
          <w:bCs/>
          <w:lang w:val="en-GB"/>
        </w:rPr>
        <w:t>reporting format of</w:t>
      </w:r>
      <w:r>
        <w:rPr>
          <w:bCs/>
          <w:lang w:val="en-GB"/>
        </w:rPr>
        <w:t xml:space="preserve"> Figure 4-1 does not have any advantage compared to the aggregate reporting format of Figure 4-5.</w:t>
      </w:r>
    </w:p>
    <w:p w14:paraId="1A1C92AA" w14:textId="0C3CAAFC" w:rsidR="00D87E1F" w:rsidRPr="00940646" w:rsidRDefault="00D87E1F" w:rsidP="005E5755">
      <w:pPr>
        <w:spacing w:before="120" w:after="240"/>
        <w:jc w:val="left"/>
        <w:outlineLvl w:val="1"/>
        <w:rPr>
          <w:rFonts w:asciiTheme="minorHAnsi" w:hAnsiTheme="minorHAnsi" w:cstheme="minorHAnsi"/>
          <w:b/>
        </w:rPr>
      </w:pPr>
      <w:r w:rsidRPr="00940646">
        <w:rPr>
          <w:rFonts w:asciiTheme="minorHAnsi" w:hAnsiTheme="minorHAnsi" w:cstheme="minorHAnsi"/>
          <w:b/>
        </w:rPr>
        <w:t>Observation</w:t>
      </w:r>
      <w:r w:rsidRPr="00940646">
        <w:rPr>
          <w:rFonts w:asciiTheme="minorHAnsi" w:hAnsiTheme="minorHAnsi" w:cstheme="minorHAnsi"/>
          <w:b/>
        </w:rPr>
        <w:t xml:space="preserve"> 1</w:t>
      </w:r>
      <w:r w:rsidRPr="00940646">
        <w:rPr>
          <w:rFonts w:asciiTheme="minorHAnsi" w:hAnsiTheme="minorHAnsi" w:cstheme="minorHAnsi"/>
          <w:b/>
        </w:rPr>
        <w:t>:</w:t>
      </w:r>
      <w:r w:rsidRPr="00940646">
        <w:rPr>
          <w:rFonts w:asciiTheme="minorHAnsi" w:hAnsiTheme="minorHAnsi" w:cstheme="minorHAnsi"/>
          <w:b/>
        </w:rPr>
        <w:t xml:space="preserve"> </w:t>
      </w:r>
      <w:r w:rsidRPr="00940646">
        <w:rPr>
          <w:rFonts w:asciiTheme="minorHAnsi" w:hAnsiTheme="minorHAnsi" w:cstheme="minorHAnsi"/>
          <w:b/>
        </w:rPr>
        <w:t>the individual BH RLC reporting format of Figure 4-1 does not have any advantage compared to the aggregate reporting format of Figure 4-5</w:t>
      </w:r>
    </w:p>
    <w:p w14:paraId="6D86919F" w14:textId="77777777" w:rsidR="00073EBC" w:rsidRDefault="00D87E1F" w:rsidP="005E5755">
      <w:pPr>
        <w:spacing w:before="120" w:after="240"/>
        <w:jc w:val="left"/>
        <w:outlineLvl w:val="1"/>
        <w:rPr>
          <w:bCs/>
        </w:rPr>
      </w:pPr>
      <w:r>
        <w:rPr>
          <w:bCs/>
        </w:rPr>
        <w:lastRenderedPageBreak/>
        <w:t xml:space="preserve">Note that congestion will typically be detected on the egress link from an IAB node. However, BH RLC channels have local link scope. Therefore, control PDUs containing Option 1 reports need to translate the desired buffer size information to the ingress link BH RLC channel when reporting it to the parent IAB node. Because of N-to-1 bearer mapping, congestion on any of several downstream egress links may impact the same BH RLC channel on the ingress link. </w:t>
      </w:r>
      <w:r w:rsidR="00073EBC">
        <w:rPr>
          <w:bCs/>
        </w:rPr>
        <w:t>Also, if an egress link is congested, it is very likely that this will impact all or most BH RLC channels traversing this link. Therefore, a congestion which impacts a single BH RLC channel may be very rare.</w:t>
      </w:r>
    </w:p>
    <w:p w14:paraId="4896863B" w14:textId="77777777" w:rsidR="00073EBC" w:rsidRPr="00940646" w:rsidRDefault="00073EBC" w:rsidP="005E5755">
      <w:pPr>
        <w:spacing w:before="120" w:after="240"/>
        <w:jc w:val="left"/>
        <w:outlineLvl w:val="1"/>
        <w:rPr>
          <w:rFonts w:asciiTheme="minorHAnsi" w:hAnsiTheme="minorHAnsi" w:cstheme="minorHAnsi"/>
          <w:b/>
        </w:rPr>
      </w:pPr>
      <w:r w:rsidRPr="00940646">
        <w:rPr>
          <w:rFonts w:asciiTheme="minorHAnsi" w:hAnsiTheme="minorHAnsi" w:cstheme="minorHAnsi"/>
          <w:b/>
        </w:rPr>
        <w:t xml:space="preserve">Observation </w:t>
      </w:r>
      <w:r w:rsidRPr="00940646">
        <w:rPr>
          <w:rFonts w:asciiTheme="minorHAnsi" w:hAnsiTheme="minorHAnsi" w:cstheme="minorHAnsi"/>
          <w:b/>
        </w:rPr>
        <w:t>2</w:t>
      </w:r>
      <w:r w:rsidRPr="00940646">
        <w:rPr>
          <w:rFonts w:asciiTheme="minorHAnsi" w:hAnsiTheme="minorHAnsi" w:cstheme="minorHAnsi"/>
          <w:b/>
        </w:rPr>
        <w:t xml:space="preserve">: </w:t>
      </w:r>
      <w:r w:rsidRPr="00940646">
        <w:rPr>
          <w:rFonts w:asciiTheme="minorHAnsi" w:hAnsiTheme="minorHAnsi" w:cstheme="minorHAnsi"/>
          <w:b/>
        </w:rPr>
        <w:t>a congestion event impacting a backhaul link, will very rarely impact a single BH RLC channel.</w:t>
      </w:r>
    </w:p>
    <w:p w14:paraId="386F277A" w14:textId="03E8701D" w:rsidR="00D87E1F" w:rsidRPr="00D87E1F" w:rsidRDefault="00073EBC" w:rsidP="005E5755">
      <w:pPr>
        <w:spacing w:before="120" w:after="240"/>
        <w:jc w:val="left"/>
        <w:outlineLvl w:val="1"/>
        <w:rPr>
          <w:bCs/>
        </w:rPr>
      </w:pPr>
      <w:r>
        <w:rPr>
          <w:bCs/>
        </w:rPr>
        <w:t>B</w:t>
      </w:r>
      <w:r>
        <w:rPr>
          <w:bCs/>
        </w:rPr>
        <w:t xml:space="preserve">ased on observations 1 and 2, the </w:t>
      </w:r>
      <w:r w:rsidRPr="00073EBC">
        <w:rPr>
          <w:bCs/>
        </w:rPr>
        <w:t>aggregate reporting format of Figure 4-5</w:t>
      </w:r>
      <w:r>
        <w:rPr>
          <w:bCs/>
        </w:rPr>
        <w:t xml:space="preserve"> seems the better choice for reporting flow control information in the case of Option 1 (indicating BH RLC channel and corresponding desired buffer size)</w:t>
      </w:r>
    </w:p>
    <w:p w14:paraId="2881AE7B" w14:textId="3318CE81" w:rsidR="00D87E1F" w:rsidRPr="00940646" w:rsidRDefault="00D87E1F" w:rsidP="005E5755">
      <w:pPr>
        <w:spacing w:before="120" w:after="240"/>
        <w:jc w:val="left"/>
        <w:outlineLvl w:val="1"/>
        <w:rPr>
          <w:rFonts w:asciiTheme="minorHAnsi" w:hAnsiTheme="minorHAnsi" w:cstheme="minorHAnsi"/>
          <w:bCs/>
          <w:lang w:val="en-GB"/>
        </w:rPr>
      </w:pPr>
      <w:r w:rsidRPr="00940646">
        <w:rPr>
          <w:rFonts w:asciiTheme="minorHAnsi" w:hAnsiTheme="minorHAnsi" w:cstheme="minorHAnsi"/>
          <w:b/>
        </w:rPr>
        <w:t>Proposal</w:t>
      </w:r>
      <w:r w:rsidRPr="00940646">
        <w:rPr>
          <w:rFonts w:asciiTheme="minorHAnsi" w:hAnsiTheme="minorHAnsi" w:cstheme="minorHAnsi"/>
          <w:b/>
        </w:rPr>
        <w:t xml:space="preserve"> </w:t>
      </w:r>
      <w:r w:rsidR="007064F2" w:rsidRPr="00940646">
        <w:rPr>
          <w:rFonts w:asciiTheme="minorHAnsi" w:hAnsiTheme="minorHAnsi" w:cstheme="minorHAnsi"/>
          <w:b/>
        </w:rPr>
        <w:t>2</w:t>
      </w:r>
      <w:r w:rsidRPr="00940646">
        <w:rPr>
          <w:rFonts w:asciiTheme="minorHAnsi" w:hAnsiTheme="minorHAnsi" w:cstheme="minorHAnsi"/>
          <w:b/>
        </w:rPr>
        <w:t>:</w:t>
      </w:r>
      <w:r w:rsidR="00073EBC" w:rsidRPr="00940646">
        <w:rPr>
          <w:rFonts w:asciiTheme="minorHAnsi" w:hAnsiTheme="minorHAnsi" w:cstheme="minorHAnsi"/>
          <w:b/>
        </w:rPr>
        <w:t xml:space="preserve"> RAN2 should support reporting the desired buffer size for multiple BH RLC channels in a single BAP control PDU  </w:t>
      </w:r>
    </w:p>
    <w:p w14:paraId="27B087DB" w14:textId="4ED231B0" w:rsidR="005E5755" w:rsidRDefault="005E5755" w:rsidP="005E5755">
      <w:pPr>
        <w:pStyle w:val="Heading2"/>
      </w:pPr>
      <w:r>
        <w:t>Polling for backhaul flow control feedback</w:t>
      </w:r>
    </w:p>
    <w:p w14:paraId="7B389ACF" w14:textId="6F4DFCC0" w:rsidR="005E5755" w:rsidRDefault="00354BBC" w:rsidP="005E5755">
      <w:pPr>
        <w:rPr>
          <w:lang w:bidi="ar"/>
        </w:rPr>
      </w:pPr>
      <w:r>
        <w:rPr>
          <w:lang w:val="en-GB"/>
        </w:rPr>
        <w:t>In RAN2#108 [1] it was agreed to support both autonomous reporting of flow control feedback (</w:t>
      </w:r>
      <w:r w:rsidR="006708CE" w:rsidRPr="004410B8">
        <w:rPr>
          <w:b/>
          <w:bCs/>
          <w:lang w:bidi="ar"/>
        </w:rPr>
        <w:t>e.g. when the buffer load exceeds the certain level, the DL hop-by-hop flow control feedback should be triggered</w:t>
      </w:r>
      <w:r w:rsidR="006708CE" w:rsidRPr="006708CE">
        <w:rPr>
          <w:lang w:bidi="ar"/>
        </w:rPr>
        <w:t>)</w:t>
      </w:r>
      <w:r w:rsidR="006708CE">
        <w:rPr>
          <w:lang w:bidi="ar"/>
        </w:rPr>
        <w:t>, as well as reporting of flow control feedback in response to polling from the parent IAB node.</w:t>
      </w:r>
    </w:p>
    <w:p w14:paraId="1DE63FC0" w14:textId="78721E49" w:rsidR="006708CE" w:rsidRDefault="006708CE" w:rsidP="005E5755">
      <w:pPr>
        <w:rPr>
          <w:lang w:val="en-GB"/>
        </w:rPr>
      </w:pPr>
      <w:r>
        <w:rPr>
          <w:lang w:val="en-GB"/>
        </w:rPr>
        <w:t>In our understanding, these two mechanisms (autonomous and polled flow control feedback) serve different usage models. Autonomous feedback is reactive in nature and serves to indicate to the parent node to stop transmitting further data immediately, so that the child IAB node’s buffers do not overflow. On the other hand, polling is used to enable the parent node to take more proactive action to avoid congestion occurring.</w:t>
      </w:r>
    </w:p>
    <w:p w14:paraId="4D00C5F0" w14:textId="071A0B1E" w:rsidR="006708CE" w:rsidRDefault="006708CE" w:rsidP="005E5755">
      <w:pPr>
        <w:rPr>
          <w:lang w:val="en-GB"/>
        </w:rPr>
      </w:pPr>
      <w:r>
        <w:rPr>
          <w:lang w:val="en-GB"/>
        </w:rPr>
        <w:t>During the e-mail discussion [2] there was some debate regarding several issues related to polling:</w:t>
      </w:r>
    </w:p>
    <w:p w14:paraId="0D2936B3" w14:textId="097758C0" w:rsidR="006708CE" w:rsidRDefault="006708CE" w:rsidP="006708CE">
      <w:pPr>
        <w:pStyle w:val="ListParagraph"/>
        <w:numPr>
          <w:ilvl w:val="0"/>
          <w:numId w:val="43"/>
        </w:numPr>
        <w:rPr>
          <w:lang w:val="en-GB"/>
        </w:rPr>
      </w:pPr>
      <w:r>
        <w:rPr>
          <w:lang w:val="en-GB"/>
        </w:rPr>
        <w:t>Do separate polling indicators need to be supported for Option 1 flow control feedback and Option 2 flow control feedback?</w:t>
      </w:r>
    </w:p>
    <w:p w14:paraId="11CEC7CB" w14:textId="6AD71FAB" w:rsidR="006708CE" w:rsidRDefault="006708CE" w:rsidP="006708CE">
      <w:pPr>
        <w:pStyle w:val="ListParagraph"/>
        <w:rPr>
          <w:lang w:val="en-GB"/>
        </w:rPr>
      </w:pPr>
      <w:r>
        <w:rPr>
          <w:lang w:val="en-GB"/>
        </w:rPr>
        <w:t>Per our understanding Option 1 and Option 2 flow control feedback provide different and complementary information to parent node regarding which flows are impacted by congestion. Therefore, we believe that the answer to this question should be yes, different polling indicators should be supported.</w:t>
      </w:r>
    </w:p>
    <w:p w14:paraId="0DB33A23" w14:textId="55109B7B" w:rsidR="006708CE" w:rsidRDefault="005401D8" w:rsidP="006708CE">
      <w:pPr>
        <w:pStyle w:val="ListParagraph"/>
        <w:numPr>
          <w:ilvl w:val="0"/>
          <w:numId w:val="43"/>
        </w:numPr>
        <w:rPr>
          <w:lang w:val="en-GB"/>
        </w:rPr>
      </w:pPr>
      <w:r>
        <w:rPr>
          <w:lang w:val="en-GB"/>
        </w:rPr>
        <w:t>Should the child node respond to a polling indicator with the requested flow control feedback type (Option 1 vs. Option 2), or can the this be left to IAB node implementation?</w:t>
      </w:r>
    </w:p>
    <w:p w14:paraId="7929A56B" w14:textId="33BFAEDF" w:rsidR="005401D8" w:rsidRDefault="005401D8" w:rsidP="005401D8">
      <w:pPr>
        <w:pStyle w:val="ListParagraph"/>
        <w:rPr>
          <w:lang w:val="en-GB"/>
        </w:rPr>
      </w:pPr>
      <w:r>
        <w:rPr>
          <w:lang w:val="en-GB"/>
        </w:rPr>
        <w:t xml:space="preserve">In our understanding, when a parent IAB node polls the child node for a </w:t>
      </w:r>
      <w:proofErr w:type="gramStart"/>
      <w:r>
        <w:rPr>
          <w:lang w:val="en-GB"/>
        </w:rPr>
        <w:t>particular type of flow</w:t>
      </w:r>
      <w:proofErr w:type="gramEnd"/>
      <w:r>
        <w:rPr>
          <w:lang w:val="en-GB"/>
        </w:rPr>
        <w:t xml:space="preserve"> control feedback information, it expects to receive the type it requested. Different types of flow control may specifically be needed for different congestion avoidance algorithms implemented at the parent IAB node. Hence, leaving the selection of feedback type to the child node implementation seems rather strange. Note that in general, the parent and child IAB nodes may be provided by different vendors. </w:t>
      </w:r>
      <w:proofErr w:type="gramStart"/>
      <w:r>
        <w:rPr>
          <w:lang w:val="en-GB"/>
        </w:rPr>
        <w:t>So</w:t>
      </w:r>
      <w:proofErr w:type="gramEnd"/>
      <w:r>
        <w:rPr>
          <w:lang w:val="en-GB"/>
        </w:rPr>
        <w:t xml:space="preserve"> there is no guarantee of uniformity in the congestion avoidance algorithms implemented at different IAB nodes.</w:t>
      </w:r>
    </w:p>
    <w:p w14:paraId="03D4D79F" w14:textId="77777777" w:rsidR="005401D8" w:rsidRDefault="005401D8" w:rsidP="006708CE">
      <w:pPr>
        <w:pStyle w:val="ListParagraph"/>
        <w:numPr>
          <w:ilvl w:val="0"/>
          <w:numId w:val="43"/>
        </w:numPr>
        <w:rPr>
          <w:lang w:val="en-GB"/>
        </w:rPr>
      </w:pPr>
      <w:r>
        <w:rPr>
          <w:lang w:val="en-GB"/>
        </w:rPr>
        <w:t xml:space="preserve">For which BH RLC channels (Option 1) or which BAP Routing IDs (Option 2) does the child IAB node need to provide desired buffer size reports in response to polling? </w:t>
      </w:r>
    </w:p>
    <w:p w14:paraId="14A690E0" w14:textId="5E673243" w:rsidR="005401D8" w:rsidRDefault="005401D8" w:rsidP="005401D8">
      <w:pPr>
        <w:pStyle w:val="ListParagraph"/>
        <w:rPr>
          <w:lang w:val="en-GB"/>
        </w:rPr>
      </w:pPr>
      <w:r>
        <w:rPr>
          <w:lang w:val="en-GB"/>
        </w:rPr>
        <w:t xml:space="preserve">Does the child only report desired buffer size for “congested” BH RLC Channels/BAP Routing IDs, or should it report desired buffer size for all configured </w:t>
      </w:r>
      <w:r>
        <w:rPr>
          <w:lang w:val="en-GB"/>
        </w:rPr>
        <w:t>BH RLC Channels/BAP Routing IDs</w:t>
      </w:r>
      <w:r>
        <w:rPr>
          <w:lang w:val="en-GB"/>
        </w:rPr>
        <w:t xml:space="preserve"> in response to a polling indicator?</w:t>
      </w:r>
    </w:p>
    <w:p w14:paraId="38002675" w14:textId="549531CE" w:rsidR="005401D8" w:rsidRDefault="005401D8" w:rsidP="005401D8">
      <w:pPr>
        <w:pStyle w:val="ListParagraph"/>
        <w:rPr>
          <w:lang w:val="en-GB"/>
        </w:rPr>
      </w:pPr>
      <w:r>
        <w:rPr>
          <w:lang w:val="en-GB"/>
        </w:rPr>
        <w:t xml:space="preserve">In our understanding with autonomous reporting the child IAB node provides desired buffer size feedback only for those </w:t>
      </w:r>
      <w:r>
        <w:rPr>
          <w:lang w:val="en-GB"/>
        </w:rPr>
        <w:t>BH RLC Channels/BAP Routing IDs</w:t>
      </w:r>
      <w:r>
        <w:rPr>
          <w:lang w:val="en-GB"/>
        </w:rPr>
        <w:t xml:space="preserve"> for which it has detected congestion. However, in the case of polling the child IAB node does not know how the parent will use the </w:t>
      </w:r>
      <w:r w:rsidR="00F708D0">
        <w:rPr>
          <w:lang w:val="en-GB"/>
        </w:rPr>
        <w:t>desired buffer size information. Therefore, our view is that if a parent polls the child node for Option 1/Option 2 flow control feedback, the child node should respond be reporting the desired buffer size for every configured BH RLC channel/every configured BAP Routing ID.</w:t>
      </w:r>
    </w:p>
    <w:p w14:paraId="7AA4982E" w14:textId="176F0F94" w:rsidR="00F708D0" w:rsidRDefault="00F708D0" w:rsidP="005401D8">
      <w:pPr>
        <w:pStyle w:val="ListParagraph"/>
        <w:rPr>
          <w:lang w:val="en-GB"/>
        </w:rPr>
      </w:pPr>
    </w:p>
    <w:p w14:paraId="1AB565C7" w14:textId="68915E12" w:rsidR="00F708D0" w:rsidRDefault="00F708D0" w:rsidP="00F708D0">
      <w:pPr>
        <w:pStyle w:val="ListParagraph"/>
        <w:ind w:left="0"/>
        <w:rPr>
          <w:lang w:val="en-GB"/>
        </w:rPr>
      </w:pPr>
      <w:r>
        <w:rPr>
          <w:lang w:val="en-GB"/>
        </w:rPr>
        <w:t>Therefore, we have the following proposals:</w:t>
      </w:r>
    </w:p>
    <w:p w14:paraId="51CE9056" w14:textId="77777777" w:rsidR="00F708D0" w:rsidRDefault="00F708D0" w:rsidP="00F708D0">
      <w:pPr>
        <w:pStyle w:val="ListParagraph"/>
        <w:ind w:left="0"/>
        <w:rPr>
          <w:b/>
        </w:rPr>
      </w:pPr>
    </w:p>
    <w:p w14:paraId="550C08C9" w14:textId="7F0EFD80" w:rsidR="00F708D0" w:rsidRDefault="00F708D0" w:rsidP="00F708D0">
      <w:pPr>
        <w:pStyle w:val="ListParagraph"/>
        <w:ind w:left="0"/>
        <w:rPr>
          <w:b/>
          <w:lang w:val="en-US"/>
        </w:rPr>
      </w:pPr>
      <w:r w:rsidRPr="007667E2">
        <w:rPr>
          <w:b/>
        </w:rPr>
        <w:t>Proposal</w:t>
      </w:r>
      <w:r>
        <w:rPr>
          <w:b/>
        </w:rPr>
        <w:t xml:space="preserve"> </w:t>
      </w:r>
      <w:r>
        <w:rPr>
          <w:b/>
          <w:lang w:val="en-US"/>
        </w:rPr>
        <w:t>3</w:t>
      </w:r>
      <w:r w:rsidRPr="007667E2">
        <w:rPr>
          <w:b/>
        </w:rPr>
        <w:t>:</w:t>
      </w:r>
      <w:r>
        <w:rPr>
          <w:b/>
        </w:rPr>
        <w:t xml:space="preserve"> </w:t>
      </w:r>
      <w:r>
        <w:rPr>
          <w:b/>
          <w:lang w:val="en-US"/>
        </w:rPr>
        <w:t>Separate polling indicators are supported for Option 1 and Option 2 flow control feedback</w:t>
      </w:r>
    </w:p>
    <w:p w14:paraId="7D201BBF" w14:textId="53D55F27" w:rsidR="00F708D0" w:rsidRDefault="00F708D0" w:rsidP="00F708D0">
      <w:pPr>
        <w:pStyle w:val="ListParagraph"/>
        <w:ind w:left="0"/>
        <w:rPr>
          <w:b/>
          <w:lang w:val="en-US"/>
        </w:rPr>
      </w:pPr>
    </w:p>
    <w:p w14:paraId="3BB0433E" w14:textId="6B3C5095" w:rsidR="00F708D0" w:rsidRDefault="00F708D0" w:rsidP="00F708D0">
      <w:pPr>
        <w:pStyle w:val="ListParagraph"/>
        <w:ind w:left="0"/>
        <w:rPr>
          <w:b/>
          <w:lang w:val="en-US"/>
        </w:rPr>
      </w:pPr>
      <w:r>
        <w:rPr>
          <w:b/>
          <w:lang w:val="en-US"/>
        </w:rPr>
        <w:t>Proposal 4: The polled IAB node is expected to report Option 1 or Option 2 feedback as indicated by the polling indicator from the polling IAB node. The exception to this is only in the case that the polled IAB node does not support the indicated option, or if it has been configured by the network not to report that option.</w:t>
      </w:r>
    </w:p>
    <w:p w14:paraId="03EC52A7" w14:textId="1C2B8126" w:rsidR="00F708D0" w:rsidRDefault="00F708D0" w:rsidP="00F708D0">
      <w:pPr>
        <w:pStyle w:val="ListParagraph"/>
        <w:ind w:left="0"/>
        <w:rPr>
          <w:b/>
          <w:lang w:val="en-US"/>
        </w:rPr>
      </w:pPr>
    </w:p>
    <w:p w14:paraId="4C065649" w14:textId="77748165" w:rsidR="00F708D0" w:rsidRDefault="00F708D0" w:rsidP="00F708D0">
      <w:pPr>
        <w:pStyle w:val="ListParagraph"/>
        <w:ind w:left="0"/>
        <w:rPr>
          <w:b/>
          <w:lang w:val="en-US"/>
        </w:rPr>
      </w:pPr>
      <w:r>
        <w:rPr>
          <w:b/>
          <w:lang w:val="en-US"/>
        </w:rPr>
        <w:t>Proposal 5: In case the IAB node is polled for Option 1 flow control feedback, it should report desired buffer size information for all BH RLC channels configured on its ingress interface.</w:t>
      </w:r>
    </w:p>
    <w:p w14:paraId="201CFAE1" w14:textId="40ED8806" w:rsidR="00F708D0" w:rsidRDefault="00F708D0" w:rsidP="00F708D0">
      <w:pPr>
        <w:pStyle w:val="ListParagraph"/>
        <w:ind w:left="0"/>
        <w:rPr>
          <w:b/>
          <w:lang w:val="en-US"/>
        </w:rPr>
      </w:pPr>
    </w:p>
    <w:p w14:paraId="49239D1C" w14:textId="34C3C569" w:rsidR="00F708D0" w:rsidRDefault="00F708D0" w:rsidP="00F708D0">
      <w:pPr>
        <w:pStyle w:val="ListParagraph"/>
        <w:ind w:left="0"/>
        <w:rPr>
          <w:b/>
          <w:lang w:val="en-US"/>
        </w:rPr>
      </w:pPr>
      <w:r>
        <w:rPr>
          <w:b/>
          <w:lang w:val="en-US"/>
        </w:rPr>
        <w:t xml:space="preserve">Proposal </w:t>
      </w:r>
      <w:r>
        <w:rPr>
          <w:b/>
          <w:lang w:val="en-US"/>
        </w:rPr>
        <w:t>6</w:t>
      </w:r>
      <w:r>
        <w:rPr>
          <w:b/>
          <w:lang w:val="en-US"/>
        </w:rPr>
        <w:t xml:space="preserve">: In case the IAB node is polled for Option </w:t>
      </w:r>
      <w:r>
        <w:rPr>
          <w:b/>
          <w:lang w:val="en-US"/>
        </w:rPr>
        <w:t>2</w:t>
      </w:r>
      <w:r>
        <w:rPr>
          <w:b/>
          <w:lang w:val="en-US"/>
        </w:rPr>
        <w:t xml:space="preserve"> flow control feedback, it should report desired buffer size information for all </w:t>
      </w:r>
      <w:r>
        <w:rPr>
          <w:b/>
          <w:lang w:val="en-US"/>
        </w:rPr>
        <w:t>BAP Routing IDs</w:t>
      </w:r>
      <w:r>
        <w:rPr>
          <w:b/>
          <w:lang w:val="en-US"/>
        </w:rPr>
        <w:t xml:space="preserve"> </w:t>
      </w:r>
      <w:r>
        <w:rPr>
          <w:b/>
          <w:lang w:val="en-US"/>
        </w:rPr>
        <w:t>c</w:t>
      </w:r>
      <w:r>
        <w:rPr>
          <w:b/>
          <w:lang w:val="en-US"/>
        </w:rPr>
        <w:t xml:space="preserve">onfigured </w:t>
      </w:r>
      <w:r>
        <w:rPr>
          <w:b/>
          <w:lang w:val="en-US"/>
        </w:rPr>
        <w:t>in the routing table</w:t>
      </w:r>
      <w:r>
        <w:rPr>
          <w:b/>
          <w:lang w:val="en-US"/>
        </w:rPr>
        <w:t>.</w:t>
      </w:r>
    </w:p>
    <w:p w14:paraId="70D5C95A" w14:textId="77777777" w:rsidR="005E5755" w:rsidRPr="005E5755" w:rsidRDefault="005E5755" w:rsidP="005E5755">
      <w:pPr>
        <w:rPr>
          <w:lang w:val="en-GB"/>
        </w:rPr>
      </w:pPr>
    </w:p>
    <w:p w14:paraId="4730FDD2" w14:textId="2300089D" w:rsidR="005E5755" w:rsidRDefault="005E5755" w:rsidP="005E5755">
      <w:pPr>
        <w:pStyle w:val="Heading2"/>
      </w:pPr>
      <w:r>
        <w:t>Backhaul flow control configuration</w:t>
      </w:r>
    </w:p>
    <w:p w14:paraId="2BBB215E" w14:textId="6DC0E51D" w:rsidR="005E5755" w:rsidRDefault="003A6B51" w:rsidP="00042EBA">
      <w:pPr>
        <w:spacing w:before="120" w:after="240"/>
        <w:jc w:val="left"/>
        <w:outlineLvl w:val="1"/>
        <w:rPr>
          <w:lang w:val="en-GB"/>
        </w:rPr>
      </w:pPr>
      <w:r>
        <w:rPr>
          <w:lang w:val="en-GB"/>
        </w:rPr>
        <w:t xml:space="preserve">Finally, some details need to be discussed regarding the configuration of flow control Options 1 &amp; 2 at the IAB node. </w:t>
      </w:r>
      <w:r>
        <w:rPr>
          <w:lang w:val="en-GB"/>
        </w:rPr>
        <w:t xml:space="preserve">In RAN2#108 [1] it was </w:t>
      </w:r>
      <w:r>
        <w:rPr>
          <w:lang w:val="en-GB"/>
        </w:rPr>
        <w:t xml:space="preserve">clear that companies supported that the donor CU should be able to configure each </w:t>
      </w:r>
      <w:r w:rsidR="003E74E0">
        <w:rPr>
          <w:lang w:val="en-GB"/>
        </w:rPr>
        <w:t>IAB node to report either Option 1, Option 2, or both formats. However, it is less clear if this configuration applies to autonomous reporting, polled reporting, or both. Furthermore, it is not clear if the polling IAB node needs to be configured in addition to the polled IAB node, or whether the polled a single configuration suffices for both autonomous reporting from an IAB node, as well as which types of flow control information an IAB node can poll its children for.</w:t>
      </w:r>
    </w:p>
    <w:p w14:paraId="168C2531" w14:textId="57B0DBD3" w:rsidR="003E74E0" w:rsidRDefault="003E74E0" w:rsidP="003E74E0">
      <w:pPr>
        <w:pStyle w:val="ListParagraph"/>
        <w:ind w:left="0"/>
        <w:rPr>
          <w:b/>
          <w:lang w:val="en-US"/>
        </w:rPr>
      </w:pPr>
      <w:r>
        <w:rPr>
          <w:b/>
          <w:lang w:val="en-US"/>
        </w:rPr>
        <w:t xml:space="preserve">Proposal </w:t>
      </w:r>
      <w:r>
        <w:rPr>
          <w:b/>
          <w:lang w:val="en-US"/>
        </w:rPr>
        <w:t>7</w:t>
      </w:r>
      <w:r>
        <w:rPr>
          <w:b/>
          <w:lang w:val="en-US"/>
        </w:rPr>
        <w:t xml:space="preserve">: </w:t>
      </w:r>
      <w:r>
        <w:rPr>
          <w:b/>
          <w:lang w:val="en-US"/>
        </w:rPr>
        <w:t>RAN 2 should discuss if configuration of the polling IAB node by the donor CU is needed, and if a single configuration parameter set applies to be autonomous and polled BH flow control reporting</w:t>
      </w:r>
      <w:r>
        <w:rPr>
          <w:b/>
          <w:lang w:val="en-US"/>
        </w:rPr>
        <w:t>.</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3FC71F49" w14:textId="7D961F54" w:rsidR="004E06D8" w:rsidRPr="00C3282F" w:rsidRDefault="00034015" w:rsidP="00C3282F">
      <w:pPr>
        <w:pStyle w:val="B1"/>
        <w:spacing w:after="120"/>
        <w:ind w:left="0" w:firstLine="0"/>
      </w:pPr>
      <w:r>
        <w:t xml:space="preserve">In this paper, we </w:t>
      </w:r>
      <w:r w:rsidR="00C3282F">
        <w:t>briefly discuss several remaining issues for IAB HbH flow control</w:t>
      </w:r>
      <w:r>
        <w:t>. We have the following</w:t>
      </w:r>
      <w:r w:rsidR="00C3282F">
        <w:t xml:space="preserve"> </w:t>
      </w:r>
      <w:r w:rsidR="005725D6">
        <w:t xml:space="preserve">observations and </w:t>
      </w:r>
      <w:r w:rsidR="004E06D8">
        <w:t>proposals</w:t>
      </w:r>
      <w:r w:rsidR="005F25C7">
        <w:t>:</w:t>
      </w:r>
    </w:p>
    <w:p w14:paraId="00E8EB31" w14:textId="77777777" w:rsidR="003E74E0" w:rsidRPr="003E74E0" w:rsidRDefault="003E74E0" w:rsidP="003E74E0">
      <w:pPr>
        <w:spacing w:before="120" w:after="240"/>
        <w:jc w:val="left"/>
        <w:outlineLvl w:val="1"/>
        <w:rPr>
          <w:rFonts w:asciiTheme="minorHAnsi" w:hAnsiTheme="minorHAnsi" w:cstheme="minorHAnsi"/>
          <w:b/>
        </w:rPr>
      </w:pPr>
      <w:r w:rsidRPr="003E74E0">
        <w:rPr>
          <w:rFonts w:asciiTheme="minorHAnsi" w:hAnsiTheme="minorHAnsi" w:cstheme="minorHAnsi"/>
          <w:b/>
        </w:rPr>
        <w:t>Observation 1: the individual BH RLC reporting format of Figure 4-1 does not have any advantage compared to the aggregate reporting format of Figure 4-5</w:t>
      </w:r>
    </w:p>
    <w:p w14:paraId="782F4934" w14:textId="0F45B978" w:rsidR="003E74E0" w:rsidRDefault="003E74E0" w:rsidP="003E74E0">
      <w:pPr>
        <w:spacing w:before="120" w:after="240"/>
        <w:jc w:val="left"/>
        <w:outlineLvl w:val="1"/>
        <w:rPr>
          <w:rFonts w:asciiTheme="minorHAnsi" w:hAnsiTheme="minorHAnsi" w:cstheme="minorHAnsi"/>
          <w:b/>
          <w:sz w:val="22"/>
          <w:szCs w:val="22"/>
        </w:rPr>
      </w:pPr>
      <w:r w:rsidRPr="003E74E0">
        <w:rPr>
          <w:rFonts w:asciiTheme="minorHAnsi" w:hAnsiTheme="minorHAnsi" w:cstheme="minorHAnsi"/>
          <w:b/>
          <w:sz w:val="22"/>
          <w:szCs w:val="22"/>
        </w:rPr>
        <w:t>Observation 2: a congestion event impacting a backhaul link, will very rarely impact a single BH RLC channel</w:t>
      </w:r>
    </w:p>
    <w:p w14:paraId="0FCE12C2" w14:textId="662E3A01" w:rsidR="003E74E0" w:rsidRDefault="003E74E0" w:rsidP="003E74E0">
      <w:pPr>
        <w:spacing w:before="120" w:after="240"/>
        <w:jc w:val="left"/>
        <w:outlineLvl w:val="1"/>
        <w:rPr>
          <w:rFonts w:asciiTheme="minorHAnsi" w:hAnsiTheme="minorHAnsi" w:cstheme="minorHAnsi"/>
          <w:b/>
          <w:sz w:val="22"/>
          <w:szCs w:val="22"/>
        </w:rPr>
      </w:pPr>
      <w:r w:rsidRPr="003E74E0">
        <w:rPr>
          <w:rFonts w:asciiTheme="minorHAnsi" w:hAnsiTheme="minorHAnsi" w:cstheme="minorHAnsi"/>
          <w:b/>
          <w:sz w:val="22"/>
          <w:szCs w:val="22"/>
        </w:rPr>
        <w:t xml:space="preserve">Proposal 1: An IAB node can be configured to report two different control PDU formats for HbH flow control information. One </w:t>
      </w:r>
      <w:proofErr w:type="gramStart"/>
      <w:r w:rsidRPr="003E74E0">
        <w:rPr>
          <w:rFonts w:asciiTheme="minorHAnsi" w:hAnsiTheme="minorHAnsi" w:cstheme="minorHAnsi"/>
          <w:b/>
          <w:sz w:val="22"/>
          <w:szCs w:val="22"/>
        </w:rPr>
        <w:t>formats</w:t>
      </w:r>
      <w:proofErr w:type="gramEnd"/>
      <w:r w:rsidRPr="003E74E0">
        <w:rPr>
          <w:rFonts w:asciiTheme="minorHAnsi" w:hAnsiTheme="minorHAnsi" w:cstheme="minorHAnsi"/>
          <w:b/>
          <w:sz w:val="22"/>
          <w:szCs w:val="22"/>
        </w:rPr>
        <w:t xml:space="preserve"> supports reporting the desired buffer size per BH RLC channel (Option 1) and the second supports reporting the desired buffer size per Routing ID (Option 2)</w:t>
      </w:r>
    </w:p>
    <w:p w14:paraId="36EFE495" w14:textId="6A77C504" w:rsidR="005725D6" w:rsidRPr="003E74E0" w:rsidRDefault="003E74E0" w:rsidP="003E74E0">
      <w:pPr>
        <w:spacing w:before="120" w:after="240"/>
        <w:jc w:val="left"/>
        <w:outlineLvl w:val="1"/>
        <w:rPr>
          <w:bCs/>
          <w:lang w:val="en-GB"/>
        </w:rPr>
      </w:pPr>
      <w:r w:rsidRPr="003E74E0">
        <w:rPr>
          <w:rFonts w:asciiTheme="minorHAnsi" w:hAnsiTheme="minorHAnsi" w:cstheme="minorHAnsi"/>
          <w:b/>
          <w:sz w:val="22"/>
          <w:szCs w:val="22"/>
        </w:rPr>
        <w:t>Proposal 2: RAN2 should support reporting the desired buffer size for multiple BH RLC channels in a single BAP control PDU</w:t>
      </w:r>
      <w:r w:rsidR="005725D6">
        <w:rPr>
          <w:b/>
        </w:rPr>
        <w:t>.</w:t>
      </w:r>
    </w:p>
    <w:p w14:paraId="3D9AC77C" w14:textId="77777777" w:rsidR="003E74E0" w:rsidRDefault="003E74E0" w:rsidP="003E74E0">
      <w:pPr>
        <w:pStyle w:val="ListParagraph"/>
        <w:ind w:left="0"/>
        <w:rPr>
          <w:b/>
          <w:lang w:val="en-US"/>
        </w:rPr>
      </w:pPr>
      <w:r w:rsidRPr="007667E2">
        <w:rPr>
          <w:b/>
        </w:rPr>
        <w:t>Proposal</w:t>
      </w:r>
      <w:r>
        <w:rPr>
          <w:b/>
        </w:rPr>
        <w:t xml:space="preserve"> </w:t>
      </w:r>
      <w:r>
        <w:rPr>
          <w:b/>
          <w:lang w:val="en-US"/>
        </w:rPr>
        <w:t>3</w:t>
      </w:r>
      <w:r w:rsidRPr="007667E2">
        <w:rPr>
          <w:b/>
        </w:rPr>
        <w:t>:</w:t>
      </w:r>
      <w:r>
        <w:rPr>
          <w:b/>
        </w:rPr>
        <w:t xml:space="preserve"> </w:t>
      </w:r>
      <w:r>
        <w:rPr>
          <w:b/>
          <w:lang w:val="en-US"/>
        </w:rPr>
        <w:t>Separate polling indicators are supported for Option 1 and Option 2 flow control feedback</w:t>
      </w:r>
    </w:p>
    <w:p w14:paraId="75E3C592" w14:textId="77777777" w:rsidR="003E74E0" w:rsidRDefault="003E74E0" w:rsidP="003E74E0">
      <w:pPr>
        <w:pStyle w:val="ListParagraph"/>
        <w:ind w:left="0"/>
        <w:rPr>
          <w:b/>
          <w:lang w:val="en-US"/>
        </w:rPr>
      </w:pPr>
    </w:p>
    <w:p w14:paraId="3E1F76F6" w14:textId="77777777" w:rsidR="003E74E0" w:rsidRDefault="003E74E0" w:rsidP="003E74E0">
      <w:pPr>
        <w:pStyle w:val="ListParagraph"/>
        <w:ind w:left="0"/>
        <w:rPr>
          <w:b/>
          <w:lang w:val="en-US"/>
        </w:rPr>
      </w:pPr>
      <w:r>
        <w:rPr>
          <w:b/>
          <w:lang w:val="en-US"/>
        </w:rPr>
        <w:t xml:space="preserve">Proposal 4: The polled IAB node is expected to report Option 1 or Option 2 feedback as indicated by the polling indicator from the polling IAB node. The exception to this is only in the case that the polled IAB </w:t>
      </w:r>
      <w:r>
        <w:rPr>
          <w:b/>
          <w:lang w:val="en-US"/>
        </w:rPr>
        <w:lastRenderedPageBreak/>
        <w:t>node does not support the indicated option, or if it has been configured by the network not to report that option.</w:t>
      </w:r>
    </w:p>
    <w:p w14:paraId="58239E32" w14:textId="77777777" w:rsidR="003E74E0" w:rsidRDefault="003E74E0" w:rsidP="003E74E0">
      <w:pPr>
        <w:pStyle w:val="ListParagraph"/>
        <w:ind w:left="0"/>
        <w:rPr>
          <w:b/>
          <w:lang w:val="en-US"/>
        </w:rPr>
      </w:pPr>
    </w:p>
    <w:p w14:paraId="6978D468" w14:textId="77777777" w:rsidR="003E74E0" w:rsidRDefault="003E74E0" w:rsidP="003E74E0">
      <w:pPr>
        <w:pStyle w:val="ListParagraph"/>
        <w:ind w:left="0"/>
        <w:rPr>
          <w:b/>
          <w:lang w:val="en-US"/>
        </w:rPr>
      </w:pPr>
      <w:r>
        <w:rPr>
          <w:b/>
          <w:lang w:val="en-US"/>
        </w:rPr>
        <w:t>Proposal 5: In case the IAB node is polled for Option 1 flow control feedback, it should report desired buffer size information for all BH RLC channels configured on its ingress interface.</w:t>
      </w:r>
    </w:p>
    <w:p w14:paraId="5B79775E" w14:textId="77777777" w:rsidR="003E74E0" w:rsidRDefault="003E74E0" w:rsidP="003E74E0">
      <w:pPr>
        <w:pStyle w:val="ListParagraph"/>
        <w:ind w:left="0"/>
        <w:rPr>
          <w:b/>
          <w:lang w:val="en-US"/>
        </w:rPr>
      </w:pPr>
    </w:p>
    <w:p w14:paraId="154E1B19" w14:textId="3AEE663F" w:rsidR="005725D6" w:rsidRDefault="003E74E0" w:rsidP="003E74E0">
      <w:pPr>
        <w:rPr>
          <w:b/>
        </w:rPr>
      </w:pPr>
      <w:r>
        <w:rPr>
          <w:b/>
        </w:rPr>
        <w:t>Proposal 6: In case the IAB node is polled for Option 2 flow control feedback, it should report desired buffer size information for all BAP Routing IDs configured in the routing table</w:t>
      </w:r>
      <w:r>
        <w:rPr>
          <w:b/>
        </w:rPr>
        <w:t>.</w:t>
      </w:r>
    </w:p>
    <w:p w14:paraId="694003A1" w14:textId="73F631AB" w:rsidR="00A67A78" w:rsidRPr="00CD32C5" w:rsidRDefault="003E74E0" w:rsidP="00A67A78">
      <w:pPr>
        <w:rPr>
          <w:b/>
          <w:bCs/>
          <w:lang w:val="en-GB"/>
        </w:rPr>
      </w:pPr>
      <w:r>
        <w:rPr>
          <w:b/>
        </w:rPr>
        <w:t>Proposal 7: RAN 2 should discuss if configuration of the polling IAB node by the donor CU is needed, and if a single configuration parameter set applies to be autonomous and polled BH flow control rep</w:t>
      </w:r>
      <w:r>
        <w:rPr>
          <w:b/>
        </w:rPr>
        <w:t>orting</w:t>
      </w:r>
      <w:r w:rsidR="004E06D8">
        <w:rPr>
          <w:b/>
        </w:rPr>
        <w:t>.</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6C764DF8" w14:textId="4CFA510F" w:rsidR="00FB00EE" w:rsidRDefault="002E16A8" w:rsidP="002E16A8">
      <w:r>
        <w:t xml:space="preserve">[1] </w:t>
      </w:r>
      <w:r w:rsidR="00A35D19">
        <w:t>Chairman notes of</w:t>
      </w:r>
      <w:r w:rsidR="00A35D19" w:rsidRPr="00A35D19">
        <w:t xml:space="preserve"> </w:t>
      </w:r>
      <w:r w:rsidR="00A35D19">
        <w:t>RAN2 #10</w:t>
      </w:r>
      <w:r w:rsidR="00C87933">
        <w:t>8</w:t>
      </w:r>
      <w:r w:rsidR="00A35D19">
        <w:t xml:space="preserve"> meeting.</w:t>
      </w:r>
      <w:bookmarkEnd w:id="1"/>
      <w:bookmarkEnd w:id="2"/>
    </w:p>
    <w:p w14:paraId="6C1745D7" w14:textId="0F71283E" w:rsidR="007C1B9D" w:rsidRPr="002E16A8" w:rsidRDefault="007C1B9D" w:rsidP="002E16A8">
      <w:r>
        <w:t xml:space="preserve">[2] </w:t>
      </w:r>
      <w:r w:rsidR="002A1723" w:rsidRPr="00250F6E">
        <w:rPr>
          <w:rFonts w:eastAsia="MS Mincho"/>
          <w:szCs w:val="24"/>
          <w:lang w:val="en-GB"/>
        </w:rPr>
        <w:t>R2-200</w:t>
      </w:r>
      <w:r w:rsidR="002A1723">
        <w:rPr>
          <w:rFonts w:eastAsia="MS Mincho"/>
          <w:szCs w:val="24"/>
          <w:lang w:val="en-GB"/>
        </w:rPr>
        <w:t>0989</w:t>
      </w:r>
      <w:r w:rsidR="002A1723">
        <w:rPr>
          <w:rFonts w:eastAsia="MS Mincho"/>
          <w:szCs w:val="24"/>
          <w:lang w:val="en-GB"/>
        </w:rPr>
        <w:t xml:space="preserve">, </w:t>
      </w:r>
      <w:r w:rsidR="002A1723" w:rsidRPr="002A1723">
        <w:t>Report of email discussion [108#</w:t>
      </w:r>
      <w:proofErr w:type="gramStart"/>
      <w:r w:rsidR="002A1723" w:rsidRPr="002A1723">
        <w:t>51][</w:t>
      </w:r>
      <w:proofErr w:type="gramEnd"/>
      <w:r w:rsidR="002A1723" w:rsidRPr="002A1723">
        <w:t>IAB] BAP open iss</w:t>
      </w:r>
      <w:r w:rsidR="002A1723">
        <w:t xml:space="preserve">ue, </w:t>
      </w:r>
      <w:r w:rsidR="002A1723" w:rsidRPr="002A1723">
        <w:t>Huawei</w:t>
      </w:r>
      <w:r w:rsidR="002A1723">
        <w:t>/</w:t>
      </w:r>
      <w:r w:rsidR="002A1723" w:rsidRPr="002A1723">
        <w:t>HiSilicon</w:t>
      </w:r>
      <w:r w:rsidR="002A1723">
        <w:t xml:space="preserve">, </w:t>
      </w:r>
      <w:r w:rsidR="002A1723">
        <w:t>RAN2 #10</w:t>
      </w:r>
      <w:r w:rsidR="002A1723">
        <w:t>9-e</w:t>
      </w:r>
    </w:p>
    <w:sectPr w:rsidR="007C1B9D" w:rsidRPr="002E16A8"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A2285" w14:textId="77777777" w:rsidR="004A1EE2" w:rsidRDefault="004A1EE2" w:rsidP="00796430">
      <w:r>
        <w:separator/>
      </w:r>
    </w:p>
  </w:endnote>
  <w:endnote w:type="continuationSeparator" w:id="0">
    <w:p w14:paraId="68534631" w14:textId="77777777" w:rsidR="004A1EE2" w:rsidRDefault="004A1EE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3F626A" w:rsidRDefault="003F626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66372" w14:textId="77777777" w:rsidR="004A1EE2" w:rsidRDefault="004A1EE2" w:rsidP="00796430">
      <w:r>
        <w:separator/>
      </w:r>
    </w:p>
  </w:footnote>
  <w:footnote w:type="continuationSeparator" w:id="0">
    <w:p w14:paraId="169E9EE5" w14:textId="77777777" w:rsidR="004A1EE2" w:rsidRDefault="004A1EE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3F626A" w:rsidRDefault="003F626A"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85130"/>
    <w:multiLevelType w:val="hybridMultilevel"/>
    <w:tmpl w:val="ABDEE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EA88E16A">
      <w:start w:val="1"/>
      <w:numFmt w:val="bullet"/>
      <w:pStyle w:val="ListBullet"/>
      <w:lvlText w:val="-"/>
      <w:lvlJc w:val="left"/>
      <w:pPr>
        <w:tabs>
          <w:tab w:val="num" w:pos="510"/>
        </w:tabs>
        <w:ind w:left="510" w:hanging="397"/>
      </w:pPr>
      <w:rPr>
        <w:rFonts w:ascii="Times New Roman" w:hAnsi="Times New Roman" w:cs="Times New Roman" w:hint="default"/>
      </w:rPr>
    </w:lvl>
    <w:lvl w:ilvl="1" w:tplc="33C463F6" w:tentative="1">
      <w:start w:val="1"/>
      <w:numFmt w:val="bullet"/>
      <w:lvlText w:val="o"/>
      <w:lvlJc w:val="left"/>
      <w:pPr>
        <w:tabs>
          <w:tab w:val="num" w:pos="1440"/>
        </w:tabs>
        <w:ind w:left="1440" w:hanging="360"/>
      </w:pPr>
      <w:rPr>
        <w:rFonts w:ascii="DotumChe" w:hAnsi="DotumChe" w:cs="DotumChe" w:hint="default"/>
      </w:rPr>
    </w:lvl>
    <w:lvl w:ilvl="2" w:tplc="6EA0754C" w:tentative="1">
      <w:start w:val="1"/>
      <w:numFmt w:val="bullet"/>
      <w:lvlText w:val=""/>
      <w:lvlJc w:val="left"/>
      <w:pPr>
        <w:tabs>
          <w:tab w:val="num" w:pos="2160"/>
        </w:tabs>
        <w:ind w:left="2160" w:hanging="360"/>
      </w:pPr>
      <w:rPr>
        <w:rFonts w:ascii="Calibri" w:hAnsi="Calibri" w:hint="default"/>
      </w:rPr>
    </w:lvl>
    <w:lvl w:ilvl="3" w:tplc="5058B7DE" w:tentative="1">
      <w:start w:val="1"/>
      <w:numFmt w:val="bullet"/>
      <w:lvlText w:val=""/>
      <w:lvlJc w:val="left"/>
      <w:pPr>
        <w:tabs>
          <w:tab w:val="num" w:pos="2880"/>
        </w:tabs>
        <w:ind w:left="2880" w:hanging="360"/>
      </w:pPr>
      <w:rPr>
        <w:rFonts w:ascii="minorBidi" w:hAnsi="minorBidi" w:hint="default"/>
      </w:rPr>
    </w:lvl>
    <w:lvl w:ilvl="4" w:tplc="464ADEEC" w:tentative="1">
      <w:start w:val="1"/>
      <w:numFmt w:val="bullet"/>
      <w:lvlText w:val="o"/>
      <w:lvlJc w:val="left"/>
      <w:pPr>
        <w:tabs>
          <w:tab w:val="num" w:pos="3600"/>
        </w:tabs>
        <w:ind w:left="3600" w:hanging="360"/>
      </w:pPr>
      <w:rPr>
        <w:rFonts w:ascii="DotumChe" w:hAnsi="DotumChe" w:cs="DotumChe" w:hint="default"/>
      </w:rPr>
    </w:lvl>
    <w:lvl w:ilvl="5" w:tplc="91920256" w:tentative="1">
      <w:start w:val="1"/>
      <w:numFmt w:val="bullet"/>
      <w:lvlText w:val=""/>
      <w:lvlJc w:val="left"/>
      <w:pPr>
        <w:tabs>
          <w:tab w:val="num" w:pos="4320"/>
        </w:tabs>
        <w:ind w:left="4320" w:hanging="360"/>
      </w:pPr>
      <w:rPr>
        <w:rFonts w:ascii="Calibri" w:hAnsi="Calibri" w:hint="default"/>
      </w:rPr>
    </w:lvl>
    <w:lvl w:ilvl="6" w:tplc="06147C22" w:tentative="1">
      <w:start w:val="1"/>
      <w:numFmt w:val="bullet"/>
      <w:lvlText w:val=""/>
      <w:lvlJc w:val="left"/>
      <w:pPr>
        <w:tabs>
          <w:tab w:val="num" w:pos="5040"/>
        </w:tabs>
        <w:ind w:left="5040" w:hanging="360"/>
      </w:pPr>
      <w:rPr>
        <w:rFonts w:ascii="minorBidi" w:hAnsi="minorBidi" w:hint="default"/>
      </w:rPr>
    </w:lvl>
    <w:lvl w:ilvl="7" w:tplc="85F68CA8" w:tentative="1">
      <w:start w:val="1"/>
      <w:numFmt w:val="bullet"/>
      <w:lvlText w:val="o"/>
      <w:lvlJc w:val="left"/>
      <w:pPr>
        <w:tabs>
          <w:tab w:val="num" w:pos="5760"/>
        </w:tabs>
        <w:ind w:left="5760" w:hanging="360"/>
      </w:pPr>
      <w:rPr>
        <w:rFonts w:ascii="DotumChe" w:hAnsi="DotumChe" w:cs="DotumChe" w:hint="default"/>
      </w:rPr>
    </w:lvl>
    <w:lvl w:ilvl="8" w:tplc="77CC3864"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027A7BFE">
      <w:start w:val="1"/>
      <w:numFmt w:val="bullet"/>
      <w:lvlText w:val="-"/>
      <w:lvlJc w:val="left"/>
      <w:pPr>
        <w:tabs>
          <w:tab w:val="num" w:pos="794"/>
        </w:tabs>
        <w:ind w:left="794" w:hanging="397"/>
      </w:pPr>
      <w:rPr>
        <w:rFonts w:ascii="Times New Roman" w:hAnsi="Times New Roman" w:cs="Times New Roman" w:hint="default"/>
      </w:rPr>
    </w:lvl>
    <w:lvl w:ilvl="1" w:tplc="1E9C93EC" w:tentative="1">
      <w:start w:val="1"/>
      <w:numFmt w:val="bullet"/>
      <w:lvlText w:val="o"/>
      <w:lvlJc w:val="left"/>
      <w:pPr>
        <w:tabs>
          <w:tab w:val="num" w:pos="1440"/>
        </w:tabs>
        <w:ind w:left="1440" w:hanging="360"/>
      </w:pPr>
      <w:rPr>
        <w:rFonts w:ascii="DotumChe" w:hAnsi="DotumChe" w:cs="DotumChe" w:hint="default"/>
      </w:rPr>
    </w:lvl>
    <w:lvl w:ilvl="2" w:tplc="3132B26C" w:tentative="1">
      <w:start w:val="1"/>
      <w:numFmt w:val="bullet"/>
      <w:lvlText w:val=""/>
      <w:lvlJc w:val="left"/>
      <w:pPr>
        <w:tabs>
          <w:tab w:val="num" w:pos="2160"/>
        </w:tabs>
        <w:ind w:left="2160" w:hanging="360"/>
      </w:pPr>
      <w:rPr>
        <w:rFonts w:ascii="Calibri" w:hAnsi="Calibri" w:hint="default"/>
      </w:rPr>
    </w:lvl>
    <w:lvl w:ilvl="3" w:tplc="84D445FA" w:tentative="1">
      <w:start w:val="1"/>
      <w:numFmt w:val="bullet"/>
      <w:lvlText w:val=""/>
      <w:lvlJc w:val="left"/>
      <w:pPr>
        <w:tabs>
          <w:tab w:val="num" w:pos="2880"/>
        </w:tabs>
        <w:ind w:left="2880" w:hanging="360"/>
      </w:pPr>
      <w:rPr>
        <w:rFonts w:ascii="minorBidi" w:hAnsi="minorBidi" w:hint="default"/>
      </w:rPr>
    </w:lvl>
    <w:lvl w:ilvl="4" w:tplc="F0F47AFC" w:tentative="1">
      <w:start w:val="1"/>
      <w:numFmt w:val="bullet"/>
      <w:lvlText w:val="o"/>
      <w:lvlJc w:val="left"/>
      <w:pPr>
        <w:tabs>
          <w:tab w:val="num" w:pos="3600"/>
        </w:tabs>
        <w:ind w:left="3600" w:hanging="360"/>
      </w:pPr>
      <w:rPr>
        <w:rFonts w:ascii="DotumChe" w:hAnsi="DotumChe" w:cs="DotumChe" w:hint="default"/>
      </w:rPr>
    </w:lvl>
    <w:lvl w:ilvl="5" w:tplc="B9DA567A" w:tentative="1">
      <w:start w:val="1"/>
      <w:numFmt w:val="bullet"/>
      <w:lvlText w:val=""/>
      <w:lvlJc w:val="left"/>
      <w:pPr>
        <w:tabs>
          <w:tab w:val="num" w:pos="4320"/>
        </w:tabs>
        <w:ind w:left="4320" w:hanging="360"/>
      </w:pPr>
      <w:rPr>
        <w:rFonts w:ascii="Calibri" w:hAnsi="Calibri" w:hint="default"/>
      </w:rPr>
    </w:lvl>
    <w:lvl w:ilvl="6" w:tplc="F830E678" w:tentative="1">
      <w:start w:val="1"/>
      <w:numFmt w:val="bullet"/>
      <w:lvlText w:val=""/>
      <w:lvlJc w:val="left"/>
      <w:pPr>
        <w:tabs>
          <w:tab w:val="num" w:pos="5040"/>
        </w:tabs>
        <w:ind w:left="5040" w:hanging="360"/>
      </w:pPr>
      <w:rPr>
        <w:rFonts w:ascii="minorBidi" w:hAnsi="minorBidi" w:hint="default"/>
      </w:rPr>
    </w:lvl>
    <w:lvl w:ilvl="7" w:tplc="40D21C06" w:tentative="1">
      <w:start w:val="1"/>
      <w:numFmt w:val="bullet"/>
      <w:lvlText w:val="o"/>
      <w:lvlJc w:val="left"/>
      <w:pPr>
        <w:tabs>
          <w:tab w:val="num" w:pos="5760"/>
        </w:tabs>
        <w:ind w:left="5760" w:hanging="360"/>
      </w:pPr>
      <w:rPr>
        <w:rFonts w:ascii="DotumChe" w:hAnsi="DotumChe" w:cs="DotumChe" w:hint="default"/>
      </w:rPr>
    </w:lvl>
    <w:lvl w:ilvl="8" w:tplc="620E3578"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1A5473C6">
      <w:start w:val="1"/>
      <w:numFmt w:val="decimal"/>
      <w:pStyle w:val="Observation"/>
      <w:lvlText w:val="Observation %1"/>
      <w:lvlJc w:val="left"/>
      <w:pPr>
        <w:ind w:left="360" w:hanging="360"/>
      </w:pPr>
      <w:rPr>
        <w:rFonts w:hint="default"/>
      </w:rPr>
    </w:lvl>
    <w:lvl w:ilvl="1" w:tplc="FFBEEACA" w:tentative="1">
      <w:start w:val="1"/>
      <w:numFmt w:val="lowerLetter"/>
      <w:lvlText w:val="%2."/>
      <w:lvlJc w:val="left"/>
      <w:pPr>
        <w:ind w:left="1440" w:hanging="360"/>
      </w:pPr>
    </w:lvl>
    <w:lvl w:ilvl="2" w:tplc="C8C82312" w:tentative="1">
      <w:start w:val="1"/>
      <w:numFmt w:val="lowerRoman"/>
      <w:lvlText w:val="%3."/>
      <w:lvlJc w:val="right"/>
      <w:pPr>
        <w:ind w:left="2160" w:hanging="180"/>
      </w:pPr>
    </w:lvl>
    <w:lvl w:ilvl="3" w:tplc="ECA04148" w:tentative="1">
      <w:start w:val="1"/>
      <w:numFmt w:val="decimal"/>
      <w:lvlText w:val="%4."/>
      <w:lvlJc w:val="left"/>
      <w:pPr>
        <w:ind w:left="2880" w:hanging="360"/>
      </w:pPr>
    </w:lvl>
    <w:lvl w:ilvl="4" w:tplc="F2EA92F0" w:tentative="1">
      <w:start w:val="1"/>
      <w:numFmt w:val="lowerLetter"/>
      <w:lvlText w:val="%5."/>
      <w:lvlJc w:val="left"/>
      <w:pPr>
        <w:ind w:left="3600" w:hanging="360"/>
      </w:pPr>
    </w:lvl>
    <w:lvl w:ilvl="5" w:tplc="6546C788" w:tentative="1">
      <w:start w:val="1"/>
      <w:numFmt w:val="lowerRoman"/>
      <w:lvlText w:val="%6."/>
      <w:lvlJc w:val="right"/>
      <w:pPr>
        <w:ind w:left="4320" w:hanging="180"/>
      </w:pPr>
    </w:lvl>
    <w:lvl w:ilvl="6" w:tplc="632E60E0" w:tentative="1">
      <w:start w:val="1"/>
      <w:numFmt w:val="decimal"/>
      <w:lvlText w:val="%7."/>
      <w:lvlJc w:val="left"/>
      <w:pPr>
        <w:ind w:left="5040" w:hanging="360"/>
      </w:pPr>
    </w:lvl>
    <w:lvl w:ilvl="7" w:tplc="EFB0F26A" w:tentative="1">
      <w:start w:val="1"/>
      <w:numFmt w:val="lowerLetter"/>
      <w:lvlText w:val="%8."/>
      <w:lvlJc w:val="left"/>
      <w:pPr>
        <w:ind w:left="5760" w:hanging="360"/>
      </w:pPr>
    </w:lvl>
    <w:lvl w:ilvl="8" w:tplc="5AAA7D2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064CB9"/>
    <w:multiLevelType w:val="hybridMultilevel"/>
    <w:tmpl w:val="3014EE3A"/>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2F1E06AC">
      <w:start w:val="1"/>
      <w:numFmt w:val="bullet"/>
      <w:pStyle w:val="ListBullet3"/>
      <w:lvlText w:val="-"/>
      <w:lvlJc w:val="left"/>
      <w:pPr>
        <w:tabs>
          <w:tab w:val="num" w:pos="1077"/>
        </w:tabs>
        <w:ind w:left="1077" w:hanging="397"/>
      </w:pPr>
      <w:rPr>
        <w:rFonts w:ascii="Times New Roman" w:hAnsi="Times New Roman" w:cs="Times New Roman" w:hint="default"/>
      </w:rPr>
    </w:lvl>
    <w:lvl w:ilvl="1" w:tplc="72301044" w:tentative="1">
      <w:start w:val="1"/>
      <w:numFmt w:val="bullet"/>
      <w:lvlText w:val="o"/>
      <w:lvlJc w:val="left"/>
      <w:pPr>
        <w:tabs>
          <w:tab w:val="num" w:pos="1440"/>
        </w:tabs>
        <w:ind w:left="1440" w:hanging="360"/>
      </w:pPr>
      <w:rPr>
        <w:rFonts w:ascii="DotumChe" w:hAnsi="DotumChe" w:cs="DotumChe" w:hint="default"/>
      </w:rPr>
    </w:lvl>
    <w:lvl w:ilvl="2" w:tplc="7674A93A" w:tentative="1">
      <w:start w:val="1"/>
      <w:numFmt w:val="bullet"/>
      <w:lvlText w:val=""/>
      <w:lvlJc w:val="left"/>
      <w:pPr>
        <w:tabs>
          <w:tab w:val="num" w:pos="2160"/>
        </w:tabs>
        <w:ind w:left="2160" w:hanging="360"/>
      </w:pPr>
      <w:rPr>
        <w:rFonts w:ascii="Calibri" w:hAnsi="Calibri" w:hint="default"/>
      </w:rPr>
    </w:lvl>
    <w:lvl w:ilvl="3" w:tplc="91C01842" w:tentative="1">
      <w:start w:val="1"/>
      <w:numFmt w:val="bullet"/>
      <w:lvlText w:val=""/>
      <w:lvlJc w:val="left"/>
      <w:pPr>
        <w:tabs>
          <w:tab w:val="num" w:pos="2880"/>
        </w:tabs>
        <w:ind w:left="2880" w:hanging="360"/>
      </w:pPr>
      <w:rPr>
        <w:rFonts w:ascii="minorBidi" w:hAnsi="minorBidi" w:hint="default"/>
      </w:rPr>
    </w:lvl>
    <w:lvl w:ilvl="4" w:tplc="E696AE76" w:tentative="1">
      <w:start w:val="1"/>
      <w:numFmt w:val="bullet"/>
      <w:lvlText w:val="o"/>
      <w:lvlJc w:val="left"/>
      <w:pPr>
        <w:tabs>
          <w:tab w:val="num" w:pos="3600"/>
        </w:tabs>
        <w:ind w:left="3600" w:hanging="360"/>
      </w:pPr>
      <w:rPr>
        <w:rFonts w:ascii="DotumChe" w:hAnsi="DotumChe" w:cs="DotumChe" w:hint="default"/>
      </w:rPr>
    </w:lvl>
    <w:lvl w:ilvl="5" w:tplc="666CCAB2" w:tentative="1">
      <w:start w:val="1"/>
      <w:numFmt w:val="bullet"/>
      <w:lvlText w:val=""/>
      <w:lvlJc w:val="left"/>
      <w:pPr>
        <w:tabs>
          <w:tab w:val="num" w:pos="4320"/>
        </w:tabs>
        <w:ind w:left="4320" w:hanging="360"/>
      </w:pPr>
      <w:rPr>
        <w:rFonts w:ascii="Calibri" w:hAnsi="Calibri" w:hint="default"/>
      </w:rPr>
    </w:lvl>
    <w:lvl w:ilvl="6" w:tplc="A37EB0DC" w:tentative="1">
      <w:start w:val="1"/>
      <w:numFmt w:val="bullet"/>
      <w:lvlText w:val=""/>
      <w:lvlJc w:val="left"/>
      <w:pPr>
        <w:tabs>
          <w:tab w:val="num" w:pos="5040"/>
        </w:tabs>
        <w:ind w:left="5040" w:hanging="360"/>
      </w:pPr>
      <w:rPr>
        <w:rFonts w:ascii="minorBidi" w:hAnsi="minorBidi" w:hint="default"/>
      </w:rPr>
    </w:lvl>
    <w:lvl w:ilvl="7" w:tplc="54E8AA1A" w:tentative="1">
      <w:start w:val="1"/>
      <w:numFmt w:val="bullet"/>
      <w:lvlText w:val="o"/>
      <w:lvlJc w:val="left"/>
      <w:pPr>
        <w:tabs>
          <w:tab w:val="num" w:pos="5760"/>
        </w:tabs>
        <w:ind w:left="5760" w:hanging="360"/>
      </w:pPr>
      <w:rPr>
        <w:rFonts w:ascii="DotumChe" w:hAnsi="DotumChe" w:cs="DotumChe" w:hint="default"/>
      </w:rPr>
    </w:lvl>
    <w:lvl w:ilvl="8" w:tplc="3E60766A"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1B5634"/>
    <w:multiLevelType w:val="hybridMultilevel"/>
    <w:tmpl w:val="ABDEE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8B0678"/>
    <w:multiLevelType w:val="hybridMultilevel"/>
    <w:tmpl w:val="8F726F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5"/>
  </w:num>
  <w:num w:numId="4">
    <w:abstractNumId w:val="12"/>
  </w:num>
  <w:num w:numId="5">
    <w:abstractNumId w:val="17"/>
  </w:num>
  <w:num w:numId="6">
    <w:abstractNumId w:val="27"/>
  </w:num>
  <w:num w:numId="7">
    <w:abstractNumId w:val="13"/>
  </w:num>
  <w:num w:numId="8">
    <w:abstractNumId w:val="6"/>
  </w:num>
  <w:num w:numId="9">
    <w:abstractNumId w:val="21"/>
  </w:num>
  <w:num w:numId="10">
    <w:abstractNumId w:val="22"/>
    <w:lvlOverride w:ilvl="0">
      <w:startOverride w:val="1"/>
    </w:lvlOverride>
  </w:num>
  <w:num w:numId="11">
    <w:abstractNumId w:val="4"/>
  </w:num>
  <w:num w:numId="12">
    <w:abstractNumId w:val="19"/>
  </w:num>
  <w:num w:numId="13">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1"/>
  </w:num>
  <w:num w:numId="17">
    <w:abstractNumId w:val="0"/>
  </w:num>
  <w:num w:numId="18">
    <w:abstractNumId w:val="7"/>
  </w:num>
  <w:num w:numId="19">
    <w:abstractNumId w:val="11"/>
  </w:num>
  <w:num w:numId="20">
    <w:abstractNumId w:val="11"/>
  </w:num>
  <w:num w:numId="21">
    <w:abstractNumId w:val="11"/>
    <w:lvlOverride w:ilvl="0">
      <w:startOverride w:val="1"/>
    </w:lvlOverride>
  </w:num>
  <w:num w:numId="22">
    <w:abstractNumId w:val="30"/>
  </w:num>
  <w:num w:numId="23">
    <w:abstractNumId w:val="9"/>
  </w:num>
  <w:num w:numId="24">
    <w:abstractNumId w:val="2"/>
  </w:num>
  <w:num w:numId="25">
    <w:abstractNumId w:val="11"/>
  </w:num>
  <w:num w:numId="26">
    <w:abstractNumId w:val="11"/>
  </w:num>
  <w:num w:numId="27">
    <w:abstractNumId w:val="11"/>
  </w:num>
  <w:num w:numId="28">
    <w:abstractNumId w:val="10"/>
  </w:num>
  <w:num w:numId="29">
    <w:abstractNumId w:val="34"/>
  </w:num>
  <w:num w:numId="30">
    <w:abstractNumId w:val="28"/>
  </w:num>
  <w:num w:numId="31">
    <w:abstractNumId w:val="24"/>
  </w:num>
  <w:num w:numId="32">
    <w:abstractNumId w:val="18"/>
  </w:num>
  <w:num w:numId="33">
    <w:abstractNumId w:val="25"/>
  </w:num>
  <w:num w:numId="34">
    <w:abstractNumId w:val="14"/>
  </w:num>
  <w:num w:numId="35">
    <w:abstractNumId w:val="5"/>
  </w:num>
  <w:num w:numId="36">
    <w:abstractNumId w:val="26"/>
  </w:num>
  <w:num w:numId="37">
    <w:abstractNumId w:val="29"/>
  </w:num>
  <w:num w:numId="38">
    <w:abstractNumId w:val="33"/>
  </w:num>
  <w:num w:numId="39">
    <w:abstractNumId w:val="16"/>
  </w:num>
  <w:num w:numId="40">
    <w:abstractNumId w:val="23"/>
  </w:num>
  <w:num w:numId="41">
    <w:abstractNumId w:val="8"/>
  </w:num>
  <w:num w:numId="42">
    <w:abstractNumId w:val="31"/>
  </w:num>
  <w:num w:numId="43">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BA5"/>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6BBF"/>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EBA"/>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EBC"/>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28F8"/>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26A"/>
    <w:rsid w:val="000D0386"/>
    <w:rsid w:val="000D0D23"/>
    <w:rsid w:val="000D0E0A"/>
    <w:rsid w:val="000D1807"/>
    <w:rsid w:val="000D2241"/>
    <w:rsid w:val="000D22A7"/>
    <w:rsid w:val="000D2321"/>
    <w:rsid w:val="000D2547"/>
    <w:rsid w:val="000D325D"/>
    <w:rsid w:val="000D33BC"/>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1F7A"/>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0C5"/>
    <w:rsid w:val="00117175"/>
    <w:rsid w:val="0011727E"/>
    <w:rsid w:val="0011731D"/>
    <w:rsid w:val="001176A6"/>
    <w:rsid w:val="00117BCE"/>
    <w:rsid w:val="00117BDD"/>
    <w:rsid w:val="00117D5A"/>
    <w:rsid w:val="00117E3E"/>
    <w:rsid w:val="00120872"/>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3D3"/>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07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E7FCC"/>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1E1"/>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283"/>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23"/>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D38"/>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0AE"/>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CEB"/>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0D6"/>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BBC"/>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B51"/>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4E0"/>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26A"/>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0B8"/>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825"/>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1EE2"/>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496"/>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2B83"/>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1D8"/>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5D6"/>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489"/>
    <w:rsid w:val="005C458B"/>
    <w:rsid w:val="005C4591"/>
    <w:rsid w:val="005C491B"/>
    <w:rsid w:val="005C4C22"/>
    <w:rsid w:val="005C4C75"/>
    <w:rsid w:val="005C4E8E"/>
    <w:rsid w:val="005C5384"/>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93"/>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55"/>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076"/>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0BA"/>
    <w:rsid w:val="0064646A"/>
    <w:rsid w:val="006464DD"/>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8CE"/>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7"/>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376"/>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09B"/>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4F2"/>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8C"/>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1F0"/>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B9D"/>
    <w:rsid w:val="007C1C7E"/>
    <w:rsid w:val="007C2840"/>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0B"/>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18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9CC"/>
    <w:rsid w:val="008A5F4B"/>
    <w:rsid w:val="008A60D5"/>
    <w:rsid w:val="008A6336"/>
    <w:rsid w:val="008A676F"/>
    <w:rsid w:val="008A71CE"/>
    <w:rsid w:val="008A74ED"/>
    <w:rsid w:val="008A7589"/>
    <w:rsid w:val="008A78CF"/>
    <w:rsid w:val="008A79FB"/>
    <w:rsid w:val="008A7A02"/>
    <w:rsid w:val="008A7AA6"/>
    <w:rsid w:val="008A7AB3"/>
    <w:rsid w:val="008B054C"/>
    <w:rsid w:val="008B0843"/>
    <w:rsid w:val="008B12F9"/>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1BA"/>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467"/>
    <w:rsid w:val="00937BAB"/>
    <w:rsid w:val="00940263"/>
    <w:rsid w:val="00940646"/>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549"/>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DFA"/>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26"/>
    <w:rsid w:val="00A923F1"/>
    <w:rsid w:val="00A92476"/>
    <w:rsid w:val="00A924C1"/>
    <w:rsid w:val="00A929BC"/>
    <w:rsid w:val="00A92C1F"/>
    <w:rsid w:val="00A9305C"/>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0FCB"/>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816"/>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08D9"/>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2D1"/>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8C"/>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968"/>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5F5"/>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452"/>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647"/>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5E8C"/>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282F"/>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87933"/>
    <w:rsid w:val="00C90A2F"/>
    <w:rsid w:val="00C90CFC"/>
    <w:rsid w:val="00C90D3A"/>
    <w:rsid w:val="00C9125B"/>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8EB"/>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99C"/>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4B6"/>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E1F"/>
    <w:rsid w:val="00D87F6B"/>
    <w:rsid w:val="00D90284"/>
    <w:rsid w:val="00D90B8F"/>
    <w:rsid w:val="00D90D90"/>
    <w:rsid w:val="00D910C6"/>
    <w:rsid w:val="00D911CF"/>
    <w:rsid w:val="00D91726"/>
    <w:rsid w:val="00D918FE"/>
    <w:rsid w:val="00D92060"/>
    <w:rsid w:val="00D929EB"/>
    <w:rsid w:val="00D933D2"/>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6A8A"/>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6AE"/>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E5"/>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3CC2"/>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AB7"/>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63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058"/>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08D0"/>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5DD4"/>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6FC0"/>
    <w:rsid w:val="00F870E8"/>
    <w:rsid w:val="00F87CF9"/>
    <w:rsid w:val="00F9002B"/>
    <w:rsid w:val="00F9004D"/>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343"/>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5A257B05-1C73-4BCF-A7A4-4462463AB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636CB-B224-4A43-BB72-55672F37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113</TotalTime>
  <Pages>5</Pages>
  <Words>1691</Words>
  <Characters>9645</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19</cp:revision>
  <cp:lastPrinted>2019-10-03T15:31:00Z</cp:lastPrinted>
  <dcterms:created xsi:type="dcterms:W3CDTF">2020-02-14T06:09:00Z</dcterms:created>
  <dcterms:modified xsi:type="dcterms:W3CDTF">2020-02-14T08:07:00Z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1581483213</vt:lpwstr>
  </property>
</Properties>
</file>